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A7205A" w:rsidP="005D0621">
            <w:pPr>
              <w:rPr>
                <w:b/>
              </w:rPr>
            </w:pPr>
            <w:r>
              <w:rPr>
                <w:rStyle w:val="Firstpagetablebold"/>
              </w:rPr>
              <w:t>14 April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A7205A" w:rsidP="00A7205A">
            <w:pPr>
              <w:rPr>
                <w:rStyle w:val="Firstpagetablebold"/>
              </w:rPr>
            </w:pPr>
            <w:r w:rsidRPr="00A7205A">
              <w:rPr>
                <w:rStyle w:val="Firstpagetablebold"/>
              </w:rPr>
              <w:t>Executive Director</w:t>
            </w:r>
            <w:r w:rsidRPr="00A7205A">
              <w:rPr>
                <w:rStyle w:val="Firstpagetablebold"/>
              </w:rPr>
              <w:tab/>
              <w:t>Organisational Development &amp; Corporate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4234F" w:rsidP="004A6D2F">
            <w:pPr>
              <w:rPr>
                <w:rStyle w:val="Firstpagetablebold"/>
              </w:rPr>
            </w:pPr>
            <w:r>
              <w:rPr>
                <w:rStyle w:val="Firstpagetablebold"/>
              </w:rPr>
              <w:t>Review of Discretionary Housing Payment policy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7"/>
        <w:gridCol w:w="2011"/>
        <w:gridCol w:w="6407"/>
      </w:tblGrid>
      <w:tr w:rsidR="00D5547E" w:rsidTr="0064234F">
        <w:trPr>
          <w:trHeight w:val="185"/>
        </w:trPr>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64234F">
        <w:trPr>
          <w:trHeight w:val="312"/>
        </w:trPr>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7205A" w:rsidP="0064234F">
            <w:r>
              <w:t xml:space="preserve">To </w:t>
            </w:r>
            <w:r w:rsidR="0064234F">
              <w:t>seek approval of the revised Discretionary Housing Payment policy for 2016</w:t>
            </w:r>
            <w:r>
              <w:t>.</w:t>
            </w:r>
          </w:p>
        </w:tc>
      </w:tr>
      <w:tr w:rsidR="00D5547E" w:rsidTr="0064234F">
        <w:trPr>
          <w:trHeight w:val="185"/>
        </w:trPr>
        <w:tc>
          <w:tcPr>
            <w:tcW w:w="2438" w:type="dxa"/>
            <w:gridSpan w:val="2"/>
            <w:tcBorders>
              <w:top w:val="nil"/>
              <w:left w:val="single" w:sz="8" w:space="0" w:color="000000"/>
              <w:bottom w:val="nil"/>
              <w:right w:val="nil"/>
            </w:tcBorders>
            <w:hideMark/>
          </w:tcPr>
          <w:p w:rsidR="00D5547E" w:rsidRPr="00547AF2" w:rsidRDefault="00D5547E">
            <w:pPr>
              <w:rPr>
                <w:rStyle w:val="Firstpagetablebold"/>
                <w:color w:val="auto"/>
              </w:rPr>
            </w:pPr>
            <w:r w:rsidRPr="00547AF2">
              <w:rPr>
                <w:rStyle w:val="Firstpagetablebold"/>
                <w:color w:val="auto"/>
              </w:rPr>
              <w:t>Key decision:</w:t>
            </w:r>
          </w:p>
        </w:tc>
        <w:tc>
          <w:tcPr>
            <w:tcW w:w="6407" w:type="dxa"/>
            <w:tcBorders>
              <w:top w:val="nil"/>
              <w:left w:val="nil"/>
              <w:bottom w:val="nil"/>
              <w:right w:val="single" w:sz="8" w:space="0" w:color="000000"/>
            </w:tcBorders>
            <w:hideMark/>
          </w:tcPr>
          <w:p w:rsidR="00D5547E" w:rsidRPr="00547AF2" w:rsidRDefault="00911EB1" w:rsidP="005F7F7E">
            <w:pPr>
              <w:rPr>
                <w:color w:val="auto"/>
              </w:rPr>
            </w:pPr>
            <w:r w:rsidRPr="00547AF2">
              <w:rPr>
                <w:color w:val="auto"/>
              </w:rPr>
              <w:t>Yes</w:t>
            </w:r>
          </w:p>
        </w:tc>
      </w:tr>
      <w:tr w:rsidR="00D5547E" w:rsidTr="0064234F">
        <w:trPr>
          <w:trHeight w:val="312"/>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A7205A" w:rsidP="005F7F7E">
            <w:r w:rsidRPr="00A7205A">
              <w:t>Councillor Susan Brown, Board Member for Customer and Corporate Services</w:t>
            </w:r>
          </w:p>
        </w:tc>
      </w:tr>
      <w:tr w:rsidR="0080749A" w:rsidTr="0064234F">
        <w:trPr>
          <w:trHeight w:val="312"/>
        </w:trPr>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A7205A" w:rsidP="005F7F7E">
            <w:r w:rsidRPr="00A7205A">
              <w:t>A Vibrant, Sustainable Economy, Strong and Active Communities</w:t>
            </w:r>
          </w:p>
        </w:tc>
      </w:tr>
      <w:tr w:rsidR="00D5547E" w:rsidTr="0064234F">
        <w:trPr>
          <w:trHeight w:val="178"/>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AC656D" w:rsidP="00AC656D">
            <w:r>
              <w:t>Corporate Plan; Financial Inclusion Strategy</w:t>
            </w:r>
            <w:r w:rsidR="00D5547E" w:rsidRPr="001356F1">
              <w:t>.</w:t>
            </w:r>
          </w:p>
        </w:tc>
      </w:tr>
      <w:tr w:rsidR="005F7F7E" w:rsidRPr="00975B07" w:rsidTr="0064234F">
        <w:trPr>
          <w:trHeight w:val="191"/>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64234F">
        <w:trPr>
          <w:trHeight w:val="131"/>
        </w:trPr>
        <w:tc>
          <w:tcPr>
            <w:tcW w:w="427"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8" w:type="dxa"/>
            <w:gridSpan w:val="2"/>
            <w:tcBorders>
              <w:top w:val="single" w:sz="8" w:space="0" w:color="000000"/>
              <w:left w:val="nil"/>
              <w:bottom w:val="nil"/>
              <w:right w:val="single" w:sz="8" w:space="0" w:color="000000"/>
            </w:tcBorders>
            <w:shd w:val="clear" w:color="auto" w:fill="auto"/>
          </w:tcPr>
          <w:p w:rsidR="0030208D" w:rsidRPr="009B2142" w:rsidRDefault="0064234F" w:rsidP="002069B3">
            <w:pPr>
              <w:rPr>
                <w:b/>
              </w:rPr>
            </w:pPr>
            <w:r w:rsidRPr="009B2142">
              <w:rPr>
                <w:rStyle w:val="Firstpagetablebold"/>
                <w:b w:val="0"/>
              </w:rPr>
              <w:t>Approve the revised Discretionary Housing Payment policy.</w:t>
            </w:r>
            <w:r w:rsidR="0030208D" w:rsidRPr="009B2142">
              <w:rPr>
                <w:b/>
              </w:rPr>
              <w:t xml:space="preserve"> </w:t>
            </w:r>
          </w:p>
        </w:tc>
      </w:tr>
      <w:tr w:rsidR="00232F5B" w:rsidRPr="00975B07" w:rsidTr="0064234F">
        <w:trPr>
          <w:trHeight w:val="65"/>
        </w:trPr>
        <w:tc>
          <w:tcPr>
            <w:tcW w:w="427" w:type="dxa"/>
            <w:tcBorders>
              <w:top w:val="nil"/>
              <w:left w:val="single" w:sz="8" w:space="0" w:color="000000"/>
              <w:bottom w:val="single" w:sz="8" w:space="0" w:color="000000"/>
              <w:right w:val="nil"/>
            </w:tcBorders>
          </w:tcPr>
          <w:p w:rsidR="0030208D" w:rsidRPr="00975B07" w:rsidRDefault="0030208D" w:rsidP="004A6D2F"/>
        </w:tc>
        <w:tc>
          <w:tcPr>
            <w:tcW w:w="8418"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6418"/>
      </w:tblGrid>
      <w:tr w:rsidR="00966D42" w:rsidRPr="00975B07" w:rsidTr="0064234F">
        <w:trPr>
          <w:trHeight w:val="362"/>
        </w:trPr>
        <w:tc>
          <w:tcPr>
            <w:tcW w:w="886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64234F">
        <w:trPr>
          <w:trHeight w:val="362"/>
        </w:trPr>
        <w:tc>
          <w:tcPr>
            <w:tcW w:w="2442"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18" w:type="dxa"/>
            <w:tcBorders>
              <w:top w:val="single" w:sz="8" w:space="0" w:color="000000"/>
              <w:left w:val="nil"/>
              <w:bottom w:val="nil"/>
              <w:right w:val="single" w:sz="8" w:space="0" w:color="000000"/>
            </w:tcBorders>
          </w:tcPr>
          <w:p w:rsidR="00ED5860" w:rsidRPr="001356F1" w:rsidRDefault="0064234F" w:rsidP="004A6D2F">
            <w:r>
              <w:t>Discretionary Housing Payment Policy</w:t>
            </w:r>
          </w:p>
        </w:tc>
      </w:tr>
      <w:tr w:rsidR="00ED5860" w:rsidRPr="00975B07" w:rsidTr="0064234F">
        <w:trPr>
          <w:trHeight w:val="347"/>
        </w:trPr>
        <w:tc>
          <w:tcPr>
            <w:tcW w:w="2442"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18" w:type="dxa"/>
            <w:tcBorders>
              <w:top w:val="nil"/>
              <w:left w:val="nil"/>
              <w:bottom w:val="nil"/>
              <w:right w:val="single" w:sz="8" w:space="0" w:color="000000"/>
            </w:tcBorders>
          </w:tcPr>
          <w:p w:rsidR="00ED5860" w:rsidRPr="001356F1" w:rsidRDefault="0064234F" w:rsidP="007E1003">
            <w:r>
              <w:t>Risk Register</w:t>
            </w:r>
          </w:p>
        </w:tc>
      </w:tr>
      <w:tr w:rsidR="0030208D" w:rsidRPr="00975B07" w:rsidTr="0064234F">
        <w:trPr>
          <w:trHeight w:val="362"/>
        </w:trPr>
        <w:tc>
          <w:tcPr>
            <w:tcW w:w="2442"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18" w:type="dxa"/>
            <w:tcBorders>
              <w:top w:val="nil"/>
              <w:left w:val="nil"/>
              <w:bottom w:val="nil"/>
              <w:right w:val="single" w:sz="8" w:space="0" w:color="000000"/>
            </w:tcBorders>
          </w:tcPr>
          <w:p w:rsidR="002C18F1" w:rsidRPr="001356F1" w:rsidRDefault="00911EB1" w:rsidP="002C18F1">
            <w:r>
              <w:t>Equalities Impact Assessment</w:t>
            </w:r>
          </w:p>
        </w:tc>
      </w:tr>
      <w:tr w:rsidR="0030208D" w:rsidRPr="00975B07" w:rsidTr="00D62E53">
        <w:trPr>
          <w:trHeight w:val="84"/>
        </w:trPr>
        <w:tc>
          <w:tcPr>
            <w:tcW w:w="2442" w:type="dxa"/>
            <w:tcBorders>
              <w:top w:val="nil"/>
              <w:left w:val="single" w:sz="8" w:space="0" w:color="000000"/>
              <w:bottom w:val="single" w:sz="8" w:space="0" w:color="000000"/>
              <w:right w:val="nil"/>
            </w:tcBorders>
            <w:shd w:val="clear" w:color="auto" w:fill="auto"/>
          </w:tcPr>
          <w:p w:rsidR="0030208D" w:rsidRPr="00975B07" w:rsidRDefault="002C18F1" w:rsidP="004A6D2F">
            <w:r>
              <w:t>Appendix 4</w:t>
            </w:r>
          </w:p>
        </w:tc>
        <w:tc>
          <w:tcPr>
            <w:tcW w:w="6418" w:type="dxa"/>
            <w:tcBorders>
              <w:top w:val="nil"/>
              <w:left w:val="nil"/>
              <w:bottom w:val="single" w:sz="8" w:space="0" w:color="000000"/>
              <w:right w:val="single" w:sz="8" w:space="0" w:color="000000"/>
            </w:tcBorders>
          </w:tcPr>
          <w:p w:rsidR="0030208D" w:rsidRPr="001356F1" w:rsidRDefault="002C18F1" w:rsidP="004A6D2F">
            <w:r>
              <w:t>Background information</w:t>
            </w:r>
          </w:p>
        </w:tc>
      </w:tr>
    </w:tbl>
    <w:p w:rsidR="00C11ACE" w:rsidRDefault="0064234F" w:rsidP="004A6D2F">
      <w:pPr>
        <w:pStyle w:val="Heading1"/>
      </w:pPr>
      <w:r>
        <w:t>Introduction and background</w:t>
      </w:r>
    </w:p>
    <w:p w:rsidR="0064234F" w:rsidRPr="001267E2" w:rsidRDefault="0064234F" w:rsidP="00AC656D">
      <w:pPr>
        <w:pStyle w:val="ListParagraph"/>
        <w:numPr>
          <w:ilvl w:val="0"/>
          <w:numId w:val="35"/>
        </w:numPr>
        <w:spacing w:after="200" w:line="276" w:lineRule="auto"/>
        <w:rPr>
          <w:rFonts w:eastAsiaTheme="minorHAnsi" w:cs="Arial"/>
          <w:color w:val="auto"/>
        </w:rPr>
      </w:pPr>
      <w:r w:rsidRPr="00AC656D">
        <w:rPr>
          <w:rFonts w:eastAsiaTheme="minorHAnsi" w:cs="Arial"/>
          <w:color w:val="auto"/>
        </w:rPr>
        <w:t xml:space="preserve">On 12 June 2013 the City Executive Board (CEB) approved a new Discretionary Housing Payment (DHP) Policy. The most significant change to the new policy was </w:t>
      </w:r>
      <w:r w:rsidR="001267E2">
        <w:rPr>
          <w:rFonts w:eastAsiaTheme="minorHAnsi" w:cs="Arial"/>
          <w:color w:val="auto"/>
        </w:rPr>
        <w:t>that</w:t>
      </w:r>
      <w:r w:rsidRPr="00AC656D">
        <w:rPr>
          <w:rFonts w:eastAsiaTheme="minorHAnsi" w:cs="Arial"/>
          <w:color w:val="auto"/>
        </w:rPr>
        <w:t xml:space="preserve"> award</w:t>
      </w:r>
      <w:r w:rsidR="00C043CF">
        <w:rPr>
          <w:rFonts w:eastAsiaTheme="minorHAnsi" w:cs="Arial"/>
          <w:color w:val="auto"/>
        </w:rPr>
        <w:t xml:space="preserve">s would be subject to an agreed action plan to improve the </w:t>
      </w:r>
      <w:r w:rsidR="008A302B">
        <w:rPr>
          <w:rFonts w:eastAsiaTheme="minorHAnsi" w:cs="Arial"/>
          <w:color w:val="auto"/>
        </w:rPr>
        <w:t>applicant’s</w:t>
      </w:r>
      <w:r w:rsidR="00C043CF">
        <w:rPr>
          <w:rFonts w:eastAsiaTheme="minorHAnsi" w:cs="Arial"/>
          <w:color w:val="auto"/>
        </w:rPr>
        <w:t xml:space="preserve"> financial sustainability.</w:t>
      </w:r>
      <w:r w:rsidRPr="001267E2">
        <w:rPr>
          <w:rFonts w:eastAsiaTheme="minorHAnsi" w:cs="Arial"/>
          <w:color w:val="auto"/>
        </w:rPr>
        <w:t xml:space="preserve"> </w:t>
      </w:r>
      <w:r w:rsidR="00C626B7">
        <w:rPr>
          <w:rFonts w:eastAsiaTheme="minorHAnsi" w:cs="Arial"/>
          <w:color w:val="auto"/>
        </w:rPr>
        <w:t>A</w:t>
      </w:r>
      <w:r w:rsidRPr="001267E2">
        <w:rPr>
          <w:rFonts w:eastAsiaTheme="minorHAnsi" w:cs="Arial"/>
          <w:color w:val="auto"/>
        </w:rPr>
        <w:t>gainst a backdrop of significant welfare reform and consequent reductions in benefit entitlement</w:t>
      </w:r>
      <w:r w:rsidR="00C043CF">
        <w:rPr>
          <w:rFonts w:eastAsiaTheme="minorHAnsi" w:cs="Arial"/>
          <w:color w:val="auto"/>
        </w:rPr>
        <w:t>, this approach was introduced</w:t>
      </w:r>
      <w:r w:rsidR="00F26D0C">
        <w:rPr>
          <w:rFonts w:eastAsiaTheme="minorHAnsi" w:cs="Arial"/>
          <w:color w:val="auto"/>
        </w:rPr>
        <w:t xml:space="preserve"> </w:t>
      </w:r>
      <w:r w:rsidRPr="001267E2">
        <w:rPr>
          <w:rFonts w:eastAsiaTheme="minorHAnsi" w:cs="Arial"/>
          <w:color w:val="auto"/>
        </w:rPr>
        <w:t>to ensure that people being supported with DHP’s were taking steps to find more sustainable solution</w:t>
      </w:r>
      <w:bookmarkStart w:id="0" w:name="_GoBack"/>
      <w:bookmarkEnd w:id="0"/>
      <w:r w:rsidRPr="001267E2">
        <w:rPr>
          <w:rFonts w:eastAsiaTheme="minorHAnsi" w:cs="Arial"/>
          <w:color w:val="auto"/>
        </w:rPr>
        <w:t xml:space="preserve">s to their situation. Since 2013 the policy has </w:t>
      </w:r>
      <w:r w:rsidRPr="001267E2">
        <w:rPr>
          <w:rFonts w:eastAsiaTheme="minorHAnsi" w:cs="Arial"/>
          <w:color w:val="auto"/>
        </w:rPr>
        <w:lastRenderedPageBreak/>
        <w:t xml:space="preserve">been reviewed annually to help manage expenditure in line with changes to the DHP grant provided by the </w:t>
      </w:r>
      <w:r w:rsidR="00356079">
        <w:rPr>
          <w:rFonts w:eastAsiaTheme="minorHAnsi" w:cs="Arial"/>
          <w:color w:val="auto"/>
        </w:rPr>
        <w:t>G</w:t>
      </w:r>
      <w:r w:rsidRPr="001267E2">
        <w:rPr>
          <w:rFonts w:eastAsiaTheme="minorHAnsi" w:cs="Arial"/>
          <w:color w:val="auto"/>
        </w:rPr>
        <w:t>overnment.</w:t>
      </w:r>
    </w:p>
    <w:p w:rsidR="0064234F" w:rsidRPr="00356079" w:rsidRDefault="0064234F" w:rsidP="00AC656D">
      <w:pPr>
        <w:pStyle w:val="ListParagraph"/>
        <w:numPr>
          <w:ilvl w:val="0"/>
          <w:numId w:val="35"/>
        </w:numPr>
        <w:spacing w:after="200" w:line="276" w:lineRule="auto"/>
        <w:rPr>
          <w:rFonts w:eastAsiaTheme="minorHAnsi" w:cs="Arial"/>
          <w:color w:val="auto"/>
        </w:rPr>
      </w:pPr>
      <w:r w:rsidRPr="00AC656D">
        <w:rPr>
          <w:rFonts w:eastAsiaTheme="minorHAnsi" w:cs="Arial"/>
          <w:color w:val="auto"/>
        </w:rPr>
        <w:t xml:space="preserve">Government funding for DHP’s has fluctuated in recent years. National funding was increased for 2013/14 and 2014/15 as a result of the introduction of the Benefit Cap and the Social Sector Size Criteria (known as the Bedroom Tax). In 2015/16 funding reduced significantly, which saw Oxford’s grant reduce from £514,496 to £288,092. </w:t>
      </w:r>
      <w:r w:rsidR="00356079">
        <w:rPr>
          <w:rFonts w:eastAsiaTheme="minorHAnsi" w:cs="Arial"/>
          <w:color w:val="auto"/>
        </w:rPr>
        <w:t xml:space="preserve"> </w:t>
      </w:r>
      <w:r w:rsidRPr="00356079">
        <w:rPr>
          <w:rFonts w:eastAsiaTheme="minorHAnsi" w:cs="Arial"/>
          <w:color w:val="auto"/>
        </w:rPr>
        <w:t xml:space="preserve">Funding has increased for 2016/17 in response to the </w:t>
      </w:r>
      <w:r w:rsidR="00356079">
        <w:rPr>
          <w:rFonts w:eastAsiaTheme="minorHAnsi" w:cs="Arial"/>
          <w:color w:val="auto"/>
        </w:rPr>
        <w:t xml:space="preserve">further </w:t>
      </w:r>
      <w:r w:rsidRPr="00356079">
        <w:rPr>
          <w:rFonts w:eastAsiaTheme="minorHAnsi" w:cs="Arial"/>
          <w:color w:val="auto"/>
        </w:rPr>
        <w:t>lowering of the Benefit Cap from £26,000 to £20,000, which will be introduced later in 2016. Oxford’s grant for next year is £376,792</w:t>
      </w:r>
      <w:r w:rsidR="007D7BBA">
        <w:rPr>
          <w:rFonts w:eastAsiaTheme="minorHAnsi" w:cs="Arial"/>
          <w:color w:val="auto"/>
        </w:rPr>
        <w:t>. An Additional £150,000 is available from Homelessness Prevention Funding to top this up if required.</w:t>
      </w:r>
      <w:r w:rsidRPr="00356079">
        <w:rPr>
          <w:rFonts w:eastAsiaTheme="minorHAnsi" w:cs="Arial"/>
          <w:color w:val="auto"/>
        </w:rPr>
        <w:t xml:space="preserve"> </w:t>
      </w:r>
    </w:p>
    <w:p w:rsidR="0064234F" w:rsidRPr="00342E16" w:rsidRDefault="0064234F" w:rsidP="00AC656D">
      <w:pPr>
        <w:pStyle w:val="ListParagraph"/>
        <w:numPr>
          <w:ilvl w:val="0"/>
          <w:numId w:val="35"/>
        </w:numPr>
        <w:spacing w:after="200" w:line="276" w:lineRule="auto"/>
        <w:rPr>
          <w:rFonts w:eastAsiaTheme="minorHAnsi" w:cs="Arial"/>
          <w:color w:val="auto"/>
        </w:rPr>
      </w:pPr>
      <w:r w:rsidRPr="00356079">
        <w:rPr>
          <w:rFonts w:eastAsiaTheme="minorHAnsi" w:cs="Arial"/>
          <w:color w:val="auto"/>
        </w:rPr>
        <w:t xml:space="preserve">The </w:t>
      </w:r>
      <w:r w:rsidR="007D7BBA">
        <w:rPr>
          <w:rFonts w:eastAsiaTheme="minorHAnsi" w:cs="Arial"/>
          <w:color w:val="auto"/>
        </w:rPr>
        <w:t>DHP policy is reviewed on an annual basis to ensure it is fit for purpose in light of changes to government funding and customer demand</w:t>
      </w:r>
      <w:r w:rsidR="008A302B">
        <w:rPr>
          <w:rFonts w:eastAsiaTheme="minorHAnsi" w:cs="Arial"/>
          <w:color w:val="auto"/>
        </w:rPr>
        <w:t>.</w:t>
      </w:r>
      <w:r w:rsidRPr="00356079">
        <w:rPr>
          <w:rFonts w:eastAsiaTheme="minorHAnsi" w:cs="Arial"/>
          <w:color w:val="auto"/>
        </w:rPr>
        <w:t xml:space="preserve"> The main change </w:t>
      </w:r>
      <w:r w:rsidR="007D7BBA">
        <w:rPr>
          <w:rFonts w:eastAsiaTheme="minorHAnsi" w:cs="Arial"/>
          <w:color w:val="auto"/>
        </w:rPr>
        <w:t>is</w:t>
      </w:r>
      <w:r w:rsidRPr="00356079">
        <w:rPr>
          <w:rFonts w:eastAsiaTheme="minorHAnsi" w:cs="Arial"/>
          <w:color w:val="auto"/>
        </w:rPr>
        <w:t xml:space="preserve"> outlined </w:t>
      </w:r>
      <w:r w:rsidR="007D7BBA">
        <w:rPr>
          <w:rFonts w:eastAsiaTheme="minorHAnsi" w:cs="Arial"/>
          <w:color w:val="auto"/>
        </w:rPr>
        <w:t xml:space="preserve">in paragraph 12 </w:t>
      </w:r>
      <w:r w:rsidRPr="00356079">
        <w:rPr>
          <w:rFonts w:eastAsiaTheme="minorHAnsi" w:cs="Arial"/>
          <w:color w:val="auto"/>
        </w:rPr>
        <w:t>below. Appendix 1 contains the revised DHP Policy. Appendix 4 provides some information on the background and purpose of DHP’s.</w:t>
      </w:r>
    </w:p>
    <w:p w:rsidR="008270C9" w:rsidRPr="00342E16" w:rsidRDefault="0064234F" w:rsidP="00342E16">
      <w:pPr>
        <w:spacing w:after="200" w:line="276" w:lineRule="auto"/>
        <w:rPr>
          <w:rFonts w:eastAsiaTheme="minorHAnsi" w:cs="Arial"/>
          <w:b/>
          <w:color w:val="auto"/>
        </w:rPr>
      </w:pPr>
      <w:r w:rsidRPr="00342E16">
        <w:rPr>
          <w:rFonts w:eastAsiaTheme="minorHAnsi" w:cs="Arial"/>
          <w:b/>
          <w:color w:val="auto"/>
        </w:rPr>
        <w:t>Expenditure</w:t>
      </w:r>
    </w:p>
    <w:p w:rsidR="0064234F" w:rsidRDefault="0064234F" w:rsidP="00342E16">
      <w:pPr>
        <w:pStyle w:val="ListParagraph"/>
        <w:numPr>
          <w:ilvl w:val="0"/>
          <w:numId w:val="35"/>
        </w:numPr>
        <w:spacing w:after="200" w:line="276" w:lineRule="auto"/>
        <w:rPr>
          <w:rFonts w:eastAsiaTheme="minorHAnsi" w:cs="Arial"/>
          <w:color w:val="auto"/>
        </w:rPr>
      </w:pPr>
      <w:r w:rsidRPr="00342E16">
        <w:rPr>
          <w:rFonts w:eastAsiaTheme="minorHAnsi" w:cs="Arial"/>
          <w:color w:val="auto"/>
        </w:rPr>
        <w:t>The table below summarises DHP expenditure since 2013.</w:t>
      </w:r>
    </w:p>
    <w:p w:rsidR="007D7BBA" w:rsidRPr="008A302B" w:rsidRDefault="007D7BBA" w:rsidP="007D7BBA">
      <w:pPr>
        <w:spacing w:after="200" w:line="276" w:lineRule="auto"/>
        <w:ind w:left="360"/>
        <w:rPr>
          <w:rFonts w:eastAsiaTheme="minorHAnsi" w:cs="Arial"/>
          <w:b/>
          <w:color w:val="auto"/>
        </w:rPr>
      </w:pPr>
      <w:r w:rsidRPr="008A302B">
        <w:rPr>
          <w:rFonts w:eastAsiaTheme="minorHAnsi" w:cs="Arial"/>
          <w:b/>
          <w:color w:val="auto"/>
        </w:rPr>
        <w:t>Table 1</w:t>
      </w:r>
    </w:p>
    <w:tbl>
      <w:tblPr>
        <w:tblStyle w:val="TableGrid1"/>
        <w:tblW w:w="0" w:type="auto"/>
        <w:tblInd w:w="728" w:type="dxa"/>
        <w:tblLook w:val="04A0" w:firstRow="1" w:lastRow="0" w:firstColumn="1" w:lastColumn="0" w:noHBand="0" w:noVBand="1"/>
        <w:tblCaption w:val="Table 1"/>
      </w:tblPr>
      <w:tblGrid>
        <w:gridCol w:w="1460"/>
        <w:gridCol w:w="2342"/>
        <w:gridCol w:w="2969"/>
      </w:tblGrid>
      <w:tr w:rsidR="0064234F" w:rsidRPr="00AC656D" w:rsidTr="00D62E53">
        <w:trPr>
          <w:trHeight w:val="458"/>
        </w:trPr>
        <w:tc>
          <w:tcPr>
            <w:tcW w:w="1460" w:type="dxa"/>
          </w:tcPr>
          <w:p w:rsidR="0064234F" w:rsidRPr="000020F1" w:rsidRDefault="0064234F" w:rsidP="000020F1">
            <w:pPr>
              <w:spacing w:after="200" w:line="276" w:lineRule="auto"/>
              <w:ind w:left="360"/>
              <w:rPr>
                <w:b/>
                <w:color w:val="auto"/>
              </w:rPr>
            </w:pPr>
            <w:r w:rsidRPr="000020F1">
              <w:rPr>
                <w:b/>
                <w:color w:val="auto"/>
              </w:rPr>
              <w:t>Year</w:t>
            </w:r>
          </w:p>
        </w:tc>
        <w:tc>
          <w:tcPr>
            <w:tcW w:w="2342" w:type="dxa"/>
          </w:tcPr>
          <w:p w:rsidR="0064234F" w:rsidRPr="000020F1" w:rsidRDefault="0064234F" w:rsidP="007D7BBA">
            <w:pPr>
              <w:spacing w:after="200" w:line="276" w:lineRule="auto"/>
              <w:ind w:left="426" w:hanging="426"/>
              <w:rPr>
                <w:b/>
                <w:color w:val="auto"/>
              </w:rPr>
            </w:pPr>
            <w:r w:rsidRPr="000020F1">
              <w:rPr>
                <w:b/>
                <w:color w:val="auto"/>
              </w:rPr>
              <w:t>Expenditure</w:t>
            </w:r>
          </w:p>
        </w:tc>
        <w:tc>
          <w:tcPr>
            <w:tcW w:w="2969" w:type="dxa"/>
          </w:tcPr>
          <w:p w:rsidR="0064234F" w:rsidRPr="00AC656D" w:rsidRDefault="0064234F" w:rsidP="007D7BBA">
            <w:pPr>
              <w:spacing w:after="200" w:line="276" w:lineRule="auto"/>
              <w:ind w:left="426" w:hanging="426"/>
              <w:rPr>
                <w:b/>
                <w:color w:val="auto"/>
              </w:rPr>
            </w:pPr>
            <w:r w:rsidRPr="00AC656D">
              <w:rPr>
                <w:b/>
                <w:color w:val="auto"/>
              </w:rPr>
              <w:t>Percentage of Grant</w:t>
            </w:r>
          </w:p>
        </w:tc>
      </w:tr>
      <w:tr w:rsidR="0064234F" w:rsidRPr="00AC656D" w:rsidTr="00D62E53">
        <w:trPr>
          <w:trHeight w:val="458"/>
        </w:trPr>
        <w:tc>
          <w:tcPr>
            <w:tcW w:w="1460" w:type="dxa"/>
          </w:tcPr>
          <w:p w:rsidR="0064234F" w:rsidRPr="00AC656D" w:rsidRDefault="008270C9" w:rsidP="00AC656D">
            <w:pPr>
              <w:spacing w:after="200" w:line="276" w:lineRule="auto"/>
              <w:ind w:left="426" w:hanging="426"/>
              <w:rPr>
                <w:color w:val="auto"/>
              </w:rPr>
            </w:pPr>
            <w:r w:rsidRPr="00AC656D">
              <w:rPr>
                <w:color w:val="auto"/>
              </w:rPr>
              <w:t>2</w:t>
            </w:r>
            <w:r w:rsidR="0064234F" w:rsidRPr="00AC656D">
              <w:rPr>
                <w:color w:val="auto"/>
              </w:rPr>
              <w:t>013/14</w:t>
            </w:r>
          </w:p>
        </w:tc>
        <w:tc>
          <w:tcPr>
            <w:tcW w:w="2342" w:type="dxa"/>
          </w:tcPr>
          <w:p w:rsidR="0064234F" w:rsidRPr="00AC656D" w:rsidRDefault="0064234F" w:rsidP="00AC656D">
            <w:pPr>
              <w:pStyle w:val="ListParagraph"/>
              <w:numPr>
                <w:ilvl w:val="0"/>
                <w:numId w:val="0"/>
              </w:numPr>
              <w:spacing w:after="200" w:line="276" w:lineRule="auto"/>
              <w:ind w:left="720"/>
              <w:rPr>
                <w:color w:val="auto"/>
              </w:rPr>
            </w:pPr>
            <w:r w:rsidRPr="00AC656D">
              <w:rPr>
                <w:color w:val="auto"/>
              </w:rPr>
              <w:t>£431,244</w:t>
            </w:r>
          </w:p>
        </w:tc>
        <w:tc>
          <w:tcPr>
            <w:tcW w:w="2969" w:type="dxa"/>
          </w:tcPr>
          <w:p w:rsidR="0064234F" w:rsidRPr="00AC656D" w:rsidRDefault="0064234F" w:rsidP="00342E16">
            <w:pPr>
              <w:pStyle w:val="ListParagraph"/>
              <w:numPr>
                <w:ilvl w:val="0"/>
                <w:numId w:val="0"/>
              </w:numPr>
              <w:spacing w:after="200" w:line="276" w:lineRule="auto"/>
              <w:ind w:left="720"/>
              <w:rPr>
                <w:color w:val="auto"/>
              </w:rPr>
            </w:pPr>
            <w:r w:rsidRPr="00AC656D">
              <w:rPr>
                <w:color w:val="auto"/>
              </w:rPr>
              <w:t>82%</w:t>
            </w:r>
          </w:p>
        </w:tc>
      </w:tr>
      <w:tr w:rsidR="0064234F" w:rsidRPr="00AC656D" w:rsidTr="00D62E53">
        <w:trPr>
          <w:trHeight w:val="458"/>
        </w:trPr>
        <w:tc>
          <w:tcPr>
            <w:tcW w:w="1460" w:type="dxa"/>
          </w:tcPr>
          <w:p w:rsidR="0064234F" w:rsidRPr="00AC656D" w:rsidRDefault="0064234F" w:rsidP="00AC656D">
            <w:pPr>
              <w:spacing w:after="200" w:line="276" w:lineRule="auto"/>
              <w:ind w:left="426" w:hanging="426"/>
              <w:rPr>
                <w:color w:val="auto"/>
              </w:rPr>
            </w:pPr>
            <w:r w:rsidRPr="00AC656D">
              <w:rPr>
                <w:color w:val="auto"/>
              </w:rPr>
              <w:t>2014/15</w:t>
            </w:r>
          </w:p>
        </w:tc>
        <w:tc>
          <w:tcPr>
            <w:tcW w:w="2342" w:type="dxa"/>
          </w:tcPr>
          <w:p w:rsidR="0064234F" w:rsidRPr="00AC656D" w:rsidRDefault="0064234F" w:rsidP="00AC656D">
            <w:pPr>
              <w:pStyle w:val="ListParagraph"/>
              <w:numPr>
                <w:ilvl w:val="0"/>
                <w:numId w:val="0"/>
              </w:numPr>
              <w:spacing w:after="200" w:line="276" w:lineRule="auto"/>
              <w:ind w:left="720"/>
              <w:rPr>
                <w:color w:val="auto"/>
              </w:rPr>
            </w:pPr>
            <w:r w:rsidRPr="00AC656D">
              <w:rPr>
                <w:color w:val="auto"/>
              </w:rPr>
              <w:t>£476,147</w:t>
            </w:r>
          </w:p>
        </w:tc>
        <w:tc>
          <w:tcPr>
            <w:tcW w:w="2969" w:type="dxa"/>
          </w:tcPr>
          <w:p w:rsidR="0064234F" w:rsidRPr="00AC656D" w:rsidRDefault="0064234F" w:rsidP="00342E16">
            <w:pPr>
              <w:pStyle w:val="ListParagraph"/>
              <w:numPr>
                <w:ilvl w:val="0"/>
                <w:numId w:val="0"/>
              </w:numPr>
              <w:spacing w:after="200" w:line="276" w:lineRule="auto"/>
              <w:ind w:left="720"/>
              <w:rPr>
                <w:color w:val="auto"/>
              </w:rPr>
            </w:pPr>
            <w:r w:rsidRPr="00AC656D">
              <w:rPr>
                <w:color w:val="auto"/>
              </w:rPr>
              <w:t>92%</w:t>
            </w:r>
          </w:p>
        </w:tc>
      </w:tr>
      <w:tr w:rsidR="0064234F" w:rsidRPr="00AC656D" w:rsidTr="00D62E53">
        <w:trPr>
          <w:trHeight w:val="493"/>
        </w:trPr>
        <w:tc>
          <w:tcPr>
            <w:tcW w:w="1460" w:type="dxa"/>
          </w:tcPr>
          <w:p w:rsidR="0064234F" w:rsidRPr="00AC656D" w:rsidRDefault="0064234F" w:rsidP="00AC656D">
            <w:pPr>
              <w:spacing w:after="200" w:line="276" w:lineRule="auto"/>
              <w:ind w:left="426" w:hanging="426"/>
              <w:rPr>
                <w:color w:val="auto"/>
              </w:rPr>
            </w:pPr>
            <w:r w:rsidRPr="00AC656D">
              <w:rPr>
                <w:color w:val="auto"/>
              </w:rPr>
              <w:t>2015/16</w:t>
            </w:r>
          </w:p>
        </w:tc>
        <w:tc>
          <w:tcPr>
            <w:tcW w:w="2342" w:type="dxa"/>
          </w:tcPr>
          <w:p w:rsidR="0064234F" w:rsidRPr="00AC656D" w:rsidRDefault="0064234F" w:rsidP="00AC656D">
            <w:pPr>
              <w:pStyle w:val="ListParagraph"/>
              <w:numPr>
                <w:ilvl w:val="0"/>
                <w:numId w:val="0"/>
              </w:numPr>
              <w:spacing w:after="200" w:line="276" w:lineRule="auto"/>
              <w:ind w:left="720"/>
              <w:rPr>
                <w:color w:val="auto"/>
              </w:rPr>
            </w:pPr>
            <w:r w:rsidRPr="00AC656D">
              <w:rPr>
                <w:color w:val="auto"/>
              </w:rPr>
              <w:t>£270,000</w:t>
            </w:r>
            <w:r w:rsidR="00D62E53" w:rsidRPr="00AC656D">
              <w:rPr>
                <w:color w:val="auto"/>
              </w:rPr>
              <w:t>*</w:t>
            </w:r>
          </w:p>
        </w:tc>
        <w:tc>
          <w:tcPr>
            <w:tcW w:w="2969" w:type="dxa"/>
          </w:tcPr>
          <w:p w:rsidR="0064234F" w:rsidRPr="00AC656D" w:rsidRDefault="0064234F" w:rsidP="00342E16">
            <w:pPr>
              <w:pStyle w:val="ListParagraph"/>
              <w:numPr>
                <w:ilvl w:val="0"/>
                <w:numId w:val="0"/>
              </w:numPr>
              <w:spacing w:after="200" w:line="276" w:lineRule="auto"/>
              <w:ind w:left="720"/>
              <w:rPr>
                <w:color w:val="auto"/>
              </w:rPr>
            </w:pPr>
            <w:r w:rsidRPr="00AC656D">
              <w:rPr>
                <w:color w:val="auto"/>
              </w:rPr>
              <w:t>94%</w:t>
            </w:r>
          </w:p>
        </w:tc>
      </w:tr>
    </w:tbl>
    <w:p w:rsidR="0064234F" w:rsidRPr="00AC656D" w:rsidRDefault="00D62E53" w:rsidP="00AC656D">
      <w:pPr>
        <w:spacing w:after="200" w:line="276" w:lineRule="auto"/>
        <w:ind w:firstLine="60"/>
        <w:rPr>
          <w:rFonts w:eastAsiaTheme="minorHAnsi" w:cs="Arial"/>
          <w:color w:val="auto"/>
        </w:rPr>
      </w:pPr>
      <w:r w:rsidRPr="00AC656D">
        <w:rPr>
          <w:rFonts w:eastAsiaTheme="minorHAnsi" w:cs="Arial"/>
          <w:color w:val="auto"/>
        </w:rPr>
        <w:tab/>
        <w:t>*forecasted figure</w:t>
      </w:r>
    </w:p>
    <w:p w:rsidR="0064234F" w:rsidRPr="00AC656D" w:rsidRDefault="0064234F" w:rsidP="00AC656D">
      <w:pPr>
        <w:pStyle w:val="ListParagraph"/>
        <w:numPr>
          <w:ilvl w:val="0"/>
          <w:numId w:val="35"/>
        </w:numPr>
        <w:spacing w:after="200" w:line="276" w:lineRule="auto"/>
        <w:rPr>
          <w:rFonts w:eastAsiaTheme="minorHAnsi" w:cs="Arial"/>
          <w:color w:val="auto"/>
        </w:rPr>
      </w:pPr>
      <w:r w:rsidRPr="00AC656D">
        <w:rPr>
          <w:rFonts w:eastAsiaTheme="minorHAnsi" w:cs="Arial"/>
          <w:color w:val="auto"/>
        </w:rPr>
        <w:t xml:space="preserve">603 applications for DHP were made up to 1 February 2016 of which 374 were successful. Awards are typically made for three months, and 94 customers have received two or more awards during the year. 108 recipients have been in receipt of DHP for more than a </w:t>
      </w:r>
      <w:proofErr w:type="gramStart"/>
      <w:r w:rsidRPr="00AC656D">
        <w:rPr>
          <w:rFonts w:eastAsiaTheme="minorHAnsi" w:cs="Arial"/>
          <w:color w:val="auto"/>
        </w:rPr>
        <w:t>year,</w:t>
      </w:r>
      <w:proofErr w:type="gramEnd"/>
      <w:r w:rsidRPr="00AC656D">
        <w:rPr>
          <w:rFonts w:eastAsiaTheme="minorHAnsi" w:cs="Arial"/>
          <w:color w:val="auto"/>
        </w:rPr>
        <w:t xml:space="preserve"> and 38 customers for more than two years. These tend to be customers with more complex needs, or those with no practical options to change their circumstances.</w:t>
      </w:r>
    </w:p>
    <w:p w:rsidR="0064234F" w:rsidRDefault="0064234F" w:rsidP="00342E16">
      <w:pPr>
        <w:pStyle w:val="ListParagraph"/>
        <w:numPr>
          <w:ilvl w:val="0"/>
          <w:numId w:val="35"/>
        </w:numPr>
        <w:spacing w:after="200" w:line="276" w:lineRule="auto"/>
        <w:rPr>
          <w:rFonts w:eastAsiaTheme="minorHAnsi" w:cs="Arial"/>
          <w:color w:val="auto"/>
        </w:rPr>
      </w:pPr>
      <w:r w:rsidRPr="00AC656D">
        <w:rPr>
          <w:rFonts w:eastAsiaTheme="minorHAnsi" w:cs="Arial"/>
          <w:color w:val="auto"/>
        </w:rPr>
        <w:t xml:space="preserve">229 applications were turned down in the </w:t>
      </w:r>
      <w:r w:rsidR="008270C9" w:rsidRPr="00AC656D">
        <w:rPr>
          <w:rFonts w:eastAsiaTheme="minorHAnsi" w:cs="Arial"/>
          <w:color w:val="auto"/>
        </w:rPr>
        <w:t>ten</w:t>
      </w:r>
      <w:r w:rsidRPr="00AC656D">
        <w:rPr>
          <w:rFonts w:eastAsiaTheme="minorHAnsi" w:cs="Arial"/>
          <w:color w:val="auto"/>
        </w:rPr>
        <w:t xml:space="preserve"> months to 31</w:t>
      </w:r>
      <w:r w:rsidR="008270C9" w:rsidRPr="00AC656D">
        <w:rPr>
          <w:rFonts w:eastAsiaTheme="minorHAnsi" w:cs="Arial"/>
          <w:color w:val="auto"/>
        </w:rPr>
        <w:t xml:space="preserve"> January 2016</w:t>
      </w:r>
      <w:r w:rsidRPr="00AC656D">
        <w:rPr>
          <w:rFonts w:eastAsiaTheme="minorHAnsi" w:cs="Arial"/>
          <w:color w:val="auto"/>
        </w:rPr>
        <w:t xml:space="preserve">. The main reason being that the customer had no </w:t>
      </w:r>
      <w:r w:rsidR="007D7BBA">
        <w:rPr>
          <w:rFonts w:eastAsiaTheme="minorHAnsi" w:cs="Arial"/>
          <w:color w:val="auto"/>
        </w:rPr>
        <w:t>realistic</w:t>
      </w:r>
      <w:r w:rsidRPr="00AC656D">
        <w:rPr>
          <w:rFonts w:eastAsiaTheme="minorHAnsi" w:cs="Arial"/>
          <w:color w:val="auto"/>
        </w:rPr>
        <w:t xml:space="preserve"> plan to reduce their reliance on DHP. In a small number of circumstances applications were turned down because the customer was not willing to undertake activities to help them find a more sustainable solution</w:t>
      </w:r>
      <w:r w:rsidRPr="00B42D23">
        <w:rPr>
          <w:rFonts w:eastAsiaTheme="minorHAnsi" w:cs="Arial"/>
          <w:color w:val="auto"/>
        </w:rPr>
        <w:t>. However, often in such cases, the customer changes their mind once they start to accrue rent arrears.</w:t>
      </w:r>
    </w:p>
    <w:p w:rsidR="007D7BBA" w:rsidRPr="008A302B" w:rsidRDefault="007D7BBA" w:rsidP="008A302B">
      <w:pPr>
        <w:spacing w:after="200" w:line="276" w:lineRule="auto"/>
        <w:ind w:left="360"/>
        <w:rPr>
          <w:rFonts w:eastAsiaTheme="minorHAnsi" w:cs="Arial"/>
          <w:b/>
          <w:color w:val="auto"/>
        </w:rPr>
      </w:pPr>
      <w:r w:rsidRPr="008A302B">
        <w:rPr>
          <w:rFonts w:eastAsiaTheme="minorHAnsi" w:cs="Arial"/>
          <w:b/>
          <w:color w:val="auto"/>
        </w:rPr>
        <w:lastRenderedPageBreak/>
        <w:t>Table 2</w:t>
      </w:r>
    </w:p>
    <w:tbl>
      <w:tblPr>
        <w:tblStyle w:val="TableGrid1"/>
        <w:tblW w:w="0" w:type="auto"/>
        <w:tblInd w:w="697" w:type="dxa"/>
        <w:tblLook w:val="04A0" w:firstRow="1" w:lastRow="0" w:firstColumn="1" w:lastColumn="0" w:noHBand="0" w:noVBand="1"/>
      </w:tblPr>
      <w:tblGrid>
        <w:gridCol w:w="6204"/>
        <w:gridCol w:w="1701"/>
      </w:tblGrid>
      <w:tr w:rsidR="0064234F" w:rsidRPr="00AC656D" w:rsidTr="003B6746">
        <w:tc>
          <w:tcPr>
            <w:tcW w:w="6204" w:type="dxa"/>
          </w:tcPr>
          <w:p w:rsidR="0064234F" w:rsidRPr="00AC656D" w:rsidRDefault="0064234F" w:rsidP="00342E16">
            <w:pPr>
              <w:spacing w:after="200" w:line="276" w:lineRule="auto"/>
              <w:rPr>
                <w:b/>
                <w:color w:val="auto"/>
              </w:rPr>
            </w:pPr>
            <w:r w:rsidRPr="00AC656D">
              <w:rPr>
                <w:b/>
                <w:color w:val="auto"/>
              </w:rPr>
              <w:t>Reason for refusal</w:t>
            </w:r>
          </w:p>
        </w:tc>
        <w:tc>
          <w:tcPr>
            <w:tcW w:w="1701" w:type="dxa"/>
          </w:tcPr>
          <w:p w:rsidR="0064234F" w:rsidRPr="00C715B1" w:rsidRDefault="0064234F" w:rsidP="00342E16">
            <w:pPr>
              <w:spacing w:after="200" w:line="276" w:lineRule="auto"/>
              <w:rPr>
                <w:b/>
                <w:color w:val="auto"/>
              </w:rPr>
            </w:pPr>
            <w:r w:rsidRPr="00AC656D">
              <w:rPr>
                <w:b/>
                <w:color w:val="auto"/>
              </w:rPr>
              <w:t>Totals</w:t>
            </w:r>
          </w:p>
        </w:tc>
      </w:tr>
      <w:tr w:rsidR="0064234F" w:rsidRPr="00AC656D" w:rsidTr="003B6746">
        <w:tc>
          <w:tcPr>
            <w:tcW w:w="6204" w:type="dxa"/>
          </w:tcPr>
          <w:p w:rsidR="0064234F" w:rsidRPr="00AC656D" w:rsidRDefault="0064234F" w:rsidP="00AC656D">
            <w:pPr>
              <w:spacing w:after="200" w:line="276" w:lineRule="auto"/>
              <w:rPr>
                <w:color w:val="auto"/>
              </w:rPr>
            </w:pPr>
            <w:r w:rsidRPr="00AC656D">
              <w:rPr>
                <w:color w:val="auto"/>
              </w:rPr>
              <w:t>No long term plan to reduce reliance on DHP</w:t>
            </w:r>
          </w:p>
        </w:tc>
        <w:tc>
          <w:tcPr>
            <w:tcW w:w="1701" w:type="dxa"/>
          </w:tcPr>
          <w:p w:rsidR="0064234F" w:rsidRPr="00AC656D" w:rsidRDefault="0064234F" w:rsidP="00AC656D">
            <w:pPr>
              <w:spacing w:after="200" w:line="276" w:lineRule="auto"/>
              <w:ind w:left="360"/>
              <w:rPr>
                <w:color w:val="auto"/>
              </w:rPr>
            </w:pPr>
            <w:r w:rsidRPr="00AC656D">
              <w:rPr>
                <w:color w:val="auto"/>
              </w:rPr>
              <w:t>40</w:t>
            </w:r>
          </w:p>
        </w:tc>
      </w:tr>
      <w:tr w:rsidR="0064234F" w:rsidRPr="00AC656D" w:rsidTr="003B6746">
        <w:tc>
          <w:tcPr>
            <w:tcW w:w="6204" w:type="dxa"/>
          </w:tcPr>
          <w:p w:rsidR="0064234F" w:rsidRPr="00AC656D" w:rsidRDefault="0064234F" w:rsidP="00AC656D">
            <w:pPr>
              <w:spacing w:after="200" w:line="276" w:lineRule="auto"/>
              <w:rPr>
                <w:color w:val="auto"/>
              </w:rPr>
            </w:pPr>
            <w:r w:rsidRPr="00AC656D">
              <w:rPr>
                <w:color w:val="auto"/>
              </w:rPr>
              <w:t>Customer determined to be able to afford rent shortfall</w:t>
            </w:r>
          </w:p>
        </w:tc>
        <w:tc>
          <w:tcPr>
            <w:tcW w:w="1701" w:type="dxa"/>
          </w:tcPr>
          <w:p w:rsidR="0064234F" w:rsidRPr="00AC656D" w:rsidRDefault="0064234F" w:rsidP="00AC656D">
            <w:pPr>
              <w:spacing w:after="200" w:line="276" w:lineRule="auto"/>
              <w:ind w:left="360"/>
              <w:rPr>
                <w:color w:val="auto"/>
              </w:rPr>
            </w:pPr>
            <w:r w:rsidRPr="00AC656D">
              <w:rPr>
                <w:color w:val="auto"/>
              </w:rPr>
              <w:t>29</w:t>
            </w:r>
          </w:p>
        </w:tc>
      </w:tr>
      <w:tr w:rsidR="0064234F" w:rsidRPr="00AC656D" w:rsidTr="003B6746">
        <w:tc>
          <w:tcPr>
            <w:tcW w:w="6204" w:type="dxa"/>
          </w:tcPr>
          <w:p w:rsidR="0064234F" w:rsidRPr="00AC656D" w:rsidRDefault="0064234F" w:rsidP="00AC656D">
            <w:pPr>
              <w:spacing w:after="200" w:line="276" w:lineRule="auto"/>
              <w:rPr>
                <w:color w:val="auto"/>
              </w:rPr>
            </w:pPr>
            <w:r w:rsidRPr="00AC656D">
              <w:rPr>
                <w:color w:val="auto"/>
              </w:rPr>
              <w:t>Not eligible for a DHP</w:t>
            </w:r>
          </w:p>
        </w:tc>
        <w:tc>
          <w:tcPr>
            <w:tcW w:w="1701" w:type="dxa"/>
          </w:tcPr>
          <w:p w:rsidR="0064234F" w:rsidRPr="00AC656D" w:rsidRDefault="0064234F" w:rsidP="00AC656D">
            <w:pPr>
              <w:spacing w:after="200" w:line="276" w:lineRule="auto"/>
              <w:ind w:left="360"/>
              <w:rPr>
                <w:color w:val="auto"/>
              </w:rPr>
            </w:pPr>
            <w:r w:rsidRPr="00AC656D">
              <w:rPr>
                <w:color w:val="auto"/>
              </w:rPr>
              <w:t>20</w:t>
            </w:r>
          </w:p>
        </w:tc>
      </w:tr>
      <w:tr w:rsidR="0064234F" w:rsidRPr="00AC656D" w:rsidTr="003B6746">
        <w:tc>
          <w:tcPr>
            <w:tcW w:w="6204" w:type="dxa"/>
          </w:tcPr>
          <w:p w:rsidR="0064234F" w:rsidRPr="00AC656D" w:rsidRDefault="0064234F" w:rsidP="00AC656D">
            <w:pPr>
              <w:spacing w:after="200" w:line="276" w:lineRule="auto"/>
              <w:rPr>
                <w:color w:val="auto"/>
              </w:rPr>
            </w:pPr>
            <w:r w:rsidRPr="00AC656D">
              <w:rPr>
                <w:color w:val="auto"/>
              </w:rPr>
              <w:t>DHP would not sustain tenancy</w:t>
            </w:r>
          </w:p>
        </w:tc>
        <w:tc>
          <w:tcPr>
            <w:tcW w:w="1701" w:type="dxa"/>
          </w:tcPr>
          <w:p w:rsidR="0064234F" w:rsidRPr="00AC656D" w:rsidRDefault="0064234F" w:rsidP="00AC656D">
            <w:pPr>
              <w:spacing w:after="200" w:line="276" w:lineRule="auto"/>
              <w:ind w:left="360"/>
              <w:rPr>
                <w:color w:val="auto"/>
              </w:rPr>
            </w:pPr>
            <w:r w:rsidRPr="00AC656D">
              <w:rPr>
                <w:color w:val="auto"/>
              </w:rPr>
              <w:t>12</w:t>
            </w:r>
          </w:p>
        </w:tc>
      </w:tr>
      <w:tr w:rsidR="0064234F" w:rsidRPr="00AC656D" w:rsidTr="003B6746">
        <w:tc>
          <w:tcPr>
            <w:tcW w:w="6204" w:type="dxa"/>
          </w:tcPr>
          <w:p w:rsidR="0064234F" w:rsidRPr="00AC656D" w:rsidRDefault="0064234F" w:rsidP="00AC656D">
            <w:pPr>
              <w:spacing w:after="200" w:line="276" w:lineRule="auto"/>
              <w:rPr>
                <w:color w:val="auto"/>
              </w:rPr>
            </w:pPr>
            <w:r w:rsidRPr="00AC656D">
              <w:rPr>
                <w:color w:val="auto"/>
              </w:rPr>
              <w:t>Failed to supply requested information</w:t>
            </w:r>
          </w:p>
        </w:tc>
        <w:tc>
          <w:tcPr>
            <w:tcW w:w="1701" w:type="dxa"/>
          </w:tcPr>
          <w:p w:rsidR="0064234F" w:rsidRPr="00AC656D" w:rsidRDefault="0064234F" w:rsidP="00AC656D">
            <w:pPr>
              <w:spacing w:after="200" w:line="276" w:lineRule="auto"/>
              <w:ind w:left="360"/>
              <w:rPr>
                <w:color w:val="auto"/>
              </w:rPr>
            </w:pPr>
            <w:r w:rsidRPr="00AC656D">
              <w:rPr>
                <w:color w:val="auto"/>
              </w:rPr>
              <w:t>11</w:t>
            </w:r>
          </w:p>
        </w:tc>
      </w:tr>
      <w:tr w:rsidR="0064234F" w:rsidRPr="00AC656D" w:rsidTr="003B6746">
        <w:tc>
          <w:tcPr>
            <w:tcW w:w="6204" w:type="dxa"/>
          </w:tcPr>
          <w:p w:rsidR="0064234F" w:rsidRPr="00AC656D" w:rsidRDefault="0064234F" w:rsidP="00AC656D">
            <w:pPr>
              <w:spacing w:after="200" w:line="276" w:lineRule="auto"/>
              <w:rPr>
                <w:color w:val="auto"/>
              </w:rPr>
            </w:pPr>
            <w:r w:rsidRPr="00AC656D">
              <w:rPr>
                <w:color w:val="auto"/>
              </w:rPr>
              <w:t>Other</w:t>
            </w:r>
          </w:p>
        </w:tc>
        <w:tc>
          <w:tcPr>
            <w:tcW w:w="1701" w:type="dxa"/>
          </w:tcPr>
          <w:p w:rsidR="0064234F" w:rsidRPr="00AC656D" w:rsidRDefault="0064234F" w:rsidP="00AC656D">
            <w:pPr>
              <w:spacing w:after="200" w:line="276" w:lineRule="auto"/>
              <w:ind w:left="360"/>
              <w:rPr>
                <w:color w:val="auto"/>
              </w:rPr>
            </w:pPr>
            <w:r w:rsidRPr="00AC656D">
              <w:rPr>
                <w:color w:val="auto"/>
              </w:rPr>
              <w:t>10</w:t>
            </w:r>
          </w:p>
        </w:tc>
      </w:tr>
      <w:tr w:rsidR="0064234F" w:rsidRPr="00AC656D" w:rsidTr="003B6746">
        <w:tc>
          <w:tcPr>
            <w:tcW w:w="6204" w:type="dxa"/>
          </w:tcPr>
          <w:p w:rsidR="0064234F" w:rsidRPr="00AC656D" w:rsidRDefault="0064234F" w:rsidP="00AC656D">
            <w:pPr>
              <w:spacing w:after="200" w:line="276" w:lineRule="auto"/>
              <w:rPr>
                <w:color w:val="auto"/>
              </w:rPr>
            </w:pPr>
            <w:r w:rsidRPr="00AC656D">
              <w:rPr>
                <w:color w:val="auto"/>
              </w:rPr>
              <w:t>Means tested shortfall only</w:t>
            </w:r>
          </w:p>
        </w:tc>
        <w:tc>
          <w:tcPr>
            <w:tcW w:w="1701" w:type="dxa"/>
          </w:tcPr>
          <w:p w:rsidR="0064234F" w:rsidRPr="00AC656D" w:rsidRDefault="0064234F" w:rsidP="00AC656D">
            <w:pPr>
              <w:spacing w:after="200" w:line="276" w:lineRule="auto"/>
              <w:ind w:left="360"/>
              <w:rPr>
                <w:color w:val="auto"/>
              </w:rPr>
            </w:pPr>
            <w:r w:rsidRPr="00AC656D">
              <w:rPr>
                <w:color w:val="auto"/>
              </w:rPr>
              <w:t>8</w:t>
            </w:r>
          </w:p>
        </w:tc>
      </w:tr>
      <w:tr w:rsidR="0064234F" w:rsidRPr="00AC656D" w:rsidTr="003B6746">
        <w:tc>
          <w:tcPr>
            <w:tcW w:w="6204" w:type="dxa"/>
          </w:tcPr>
          <w:p w:rsidR="0064234F" w:rsidRPr="00AC656D" w:rsidRDefault="0064234F" w:rsidP="00AC656D">
            <w:pPr>
              <w:spacing w:after="200" w:line="276" w:lineRule="auto"/>
              <w:rPr>
                <w:color w:val="auto"/>
              </w:rPr>
            </w:pPr>
            <w:r w:rsidRPr="00AC656D">
              <w:rPr>
                <w:color w:val="auto"/>
              </w:rPr>
              <w:t>Didn’t meet conditions of previous award</w:t>
            </w:r>
          </w:p>
        </w:tc>
        <w:tc>
          <w:tcPr>
            <w:tcW w:w="1701" w:type="dxa"/>
          </w:tcPr>
          <w:p w:rsidR="0064234F" w:rsidRPr="00AC656D" w:rsidRDefault="0064234F" w:rsidP="00AC656D">
            <w:pPr>
              <w:spacing w:after="200" w:line="276" w:lineRule="auto"/>
              <w:ind w:left="360"/>
              <w:rPr>
                <w:color w:val="auto"/>
              </w:rPr>
            </w:pPr>
            <w:r w:rsidRPr="00AC656D">
              <w:rPr>
                <w:color w:val="auto"/>
              </w:rPr>
              <w:t>6</w:t>
            </w:r>
          </w:p>
        </w:tc>
      </w:tr>
      <w:tr w:rsidR="0064234F" w:rsidRPr="00AC656D" w:rsidTr="003B6746">
        <w:tc>
          <w:tcPr>
            <w:tcW w:w="6204" w:type="dxa"/>
          </w:tcPr>
          <w:p w:rsidR="0064234F" w:rsidRPr="00AC656D" w:rsidRDefault="0064234F" w:rsidP="00AC656D">
            <w:pPr>
              <w:spacing w:after="200" w:line="276" w:lineRule="auto"/>
              <w:rPr>
                <w:color w:val="auto"/>
              </w:rPr>
            </w:pPr>
            <w:r w:rsidRPr="00AC656D">
              <w:rPr>
                <w:color w:val="auto"/>
              </w:rPr>
              <w:t>Rent determined to be too expensive</w:t>
            </w:r>
          </w:p>
        </w:tc>
        <w:tc>
          <w:tcPr>
            <w:tcW w:w="1701" w:type="dxa"/>
          </w:tcPr>
          <w:p w:rsidR="0064234F" w:rsidRPr="00AC656D" w:rsidRDefault="0064234F" w:rsidP="00AC656D">
            <w:pPr>
              <w:spacing w:after="200" w:line="276" w:lineRule="auto"/>
              <w:ind w:left="360"/>
              <w:rPr>
                <w:color w:val="auto"/>
              </w:rPr>
            </w:pPr>
            <w:r w:rsidRPr="00AC656D">
              <w:rPr>
                <w:color w:val="auto"/>
              </w:rPr>
              <w:t>6</w:t>
            </w:r>
          </w:p>
        </w:tc>
      </w:tr>
      <w:tr w:rsidR="0064234F" w:rsidRPr="00AC656D" w:rsidTr="003B6746">
        <w:tc>
          <w:tcPr>
            <w:tcW w:w="6204" w:type="dxa"/>
          </w:tcPr>
          <w:p w:rsidR="0064234F" w:rsidRPr="00AC656D" w:rsidRDefault="0064234F" w:rsidP="00AC656D">
            <w:pPr>
              <w:spacing w:after="200" w:line="276" w:lineRule="auto"/>
              <w:rPr>
                <w:color w:val="auto"/>
              </w:rPr>
            </w:pPr>
            <w:r w:rsidRPr="00AC656D">
              <w:rPr>
                <w:color w:val="auto"/>
              </w:rPr>
              <w:t>Doesn’t meet DHP policy criteria</w:t>
            </w:r>
          </w:p>
        </w:tc>
        <w:tc>
          <w:tcPr>
            <w:tcW w:w="1701" w:type="dxa"/>
          </w:tcPr>
          <w:p w:rsidR="0064234F" w:rsidRPr="00AC656D" w:rsidRDefault="0064234F" w:rsidP="00AC656D">
            <w:pPr>
              <w:spacing w:after="200" w:line="276" w:lineRule="auto"/>
              <w:ind w:left="360"/>
              <w:rPr>
                <w:color w:val="auto"/>
              </w:rPr>
            </w:pPr>
            <w:r w:rsidRPr="00AC656D">
              <w:rPr>
                <w:color w:val="auto"/>
              </w:rPr>
              <w:t>3</w:t>
            </w:r>
          </w:p>
        </w:tc>
      </w:tr>
      <w:tr w:rsidR="0064234F" w:rsidRPr="00AC656D" w:rsidTr="003B6746">
        <w:tc>
          <w:tcPr>
            <w:tcW w:w="6204" w:type="dxa"/>
          </w:tcPr>
          <w:p w:rsidR="0064234F" w:rsidRPr="00AC656D" w:rsidRDefault="0064234F" w:rsidP="00AC656D">
            <w:pPr>
              <w:spacing w:after="200" w:line="276" w:lineRule="auto"/>
              <w:rPr>
                <w:color w:val="auto"/>
              </w:rPr>
            </w:pPr>
            <w:r w:rsidRPr="00AC656D">
              <w:rPr>
                <w:color w:val="auto"/>
              </w:rPr>
              <w:t>Unwilling to accept conditions of award</w:t>
            </w:r>
          </w:p>
        </w:tc>
        <w:tc>
          <w:tcPr>
            <w:tcW w:w="1701" w:type="dxa"/>
          </w:tcPr>
          <w:p w:rsidR="0064234F" w:rsidRPr="00AC656D" w:rsidRDefault="0064234F" w:rsidP="00AC656D">
            <w:pPr>
              <w:spacing w:after="200" w:line="276" w:lineRule="auto"/>
              <w:ind w:left="360"/>
              <w:rPr>
                <w:color w:val="auto"/>
              </w:rPr>
            </w:pPr>
            <w:r w:rsidRPr="00AC656D">
              <w:rPr>
                <w:color w:val="auto"/>
              </w:rPr>
              <w:t>2</w:t>
            </w:r>
          </w:p>
        </w:tc>
      </w:tr>
    </w:tbl>
    <w:p w:rsidR="0064234F" w:rsidRPr="00342E16" w:rsidRDefault="0064234F" w:rsidP="007D7BBA">
      <w:pPr>
        <w:pStyle w:val="ListParagraph"/>
        <w:numPr>
          <w:ilvl w:val="0"/>
          <w:numId w:val="0"/>
        </w:numPr>
        <w:spacing w:after="200" w:line="276" w:lineRule="auto"/>
        <w:ind w:left="720"/>
        <w:rPr>
          <w:rFonts w:eastAsiaTheme="minorHAnsi" w:cs="Arial"/>
          <w:color w:val="auto"/>
        </w:rPr>
      </w:pPr>
      <w:r w:rsidRPr="00AC656D">
        <w:rPr>
          <w:rFonts w:eastAsiaTheme="minorHAnsi" w:cs="Arial"/>
          <w:color w:val="auto"/>
        </w:rPr>
        <w:t>NB This data has only been manually recorded since July, as it is unable to be retrieved f</w:t>
      </w:r>
      <w:r w:rsidR="00C715B1">
        <w:rPr>
          <w:rFonts w:eastAsiaTheme="minorHAnsi" w:cs="Arial"/>
          <w:color w:val="auto"/>
        </w:rPr>
        <w:t>r</w:t>
      </w:r>
      <w:r w:rsidRPr="00AC656D">
        <w:rPr>
          <w:rFonts w:eastAsiaTheme="minorHAnsi" w:cs="Arial"/>
          <w:color w:val="auto"/>
        </w:rPr>
        <w:t>om the Academy system.</w:t>
      </w:r>
    </w:p>
    <w:p w:rsidR="007D7BBA" w:rsidRDefault="0064234F" w:rsidP="00AC656D">
      <w:pPr>
        <w:pStyle w:val="ListParagraph"/>
        <w:numPr>
          <w:ilvl w:val="0"/>
          <w:numId w:val="35"/>
        </w:numPr>
        <w:spacing w:after="200" w:line="276" w:lineRule="auto"/>
        <w:rPr>
          <w:rFonts w:eastAsiaTheme="minorHAnsi" w:cs="Arial"/>
          <w:color w:val="auto"/>
        </w:rPr>
      </w:pPr>
      <w:r w:rsidRPr="00342E16">
        <w:rPr>
          <w:rFonts w:eastAsiaTheme="minorHAnsi" w:cs="Arial"/>
          <w:color w:val="auto"/>
        </w:rPr>
        <w:t xml:space="preserve">The following table compares the details of DHP awards and expenditure by benefit category for the year to date </w:t>
      </w:r>
      <w:r w:rsidRPr="00B42D23">
        <w:rPr>
          <w:rFonts w:eastAsiaTheme="minorHAnsi" w:cs="Arial"/>
          <w:color w:val="auto"/>
        </w:rPr>
        <w:t xml:space="preserve">with the previous two years. Please note that the category of “Other” relates to circumstances where an applicant is not entitled to full Housing Benefit. This will usually be as a result of having greater income than the minimum level which attracts full </w:t>
      </w:r>
      <w:r w:rsidRPr="00C715B1">
        <w:rPr>
          <w:rFonts w:eastAsiaTheme="minorHAnsi" w:cs="Arial"/>
          <w:color w:val="auto"/>
        </w:rPr>
        <w:t>Housing Benefit or, due to deductions made in respect of non-dependant adults living at the property.</w:t>
      </w:r>
      <w:r w:rsidRPr="00C715B1">
        <w:rPr>
          <w:rFonts w:eastAsiaTheme="minorHAnsi" w:cs="Arial"/>
          <w:color w:val="auto"/>
        </w:rPr>
        <w:tab/>
      </w:r>
    </w:p>
    <w:p w:rsidR="0064234F" w:rsidRPr="008A302B" w:rsidRDefault="007D7BBA" w:rsidP="008A302B">
      <w:pPr>
        <w:spacing w:after="200" w:line="276" w:lineRule="auto"/>
        <w:ind w:left="360"/>
        <w:rPr>
          <w:rFonts w:eastAsiaTheme="minorHAnsi" w:cs="Arial"/>
          <w:b/>
          <w:color w:val="auto"/>
        </w:rPr>
      </w:pPr>
      <w:r w:rsidRPr="008A302B">
        <w:rPr>
          <w:rFonts w:eastAsiaTheme="minorHAnsi" w:cs="Arial"/>
          <w:b/>
          <w:color w:val="auto"/>
        </w:rPr>
        <w:t>Table 3</w:t>
      </w:r>
      <w:r w:rsidR="0064234F" w:rsidRPr="008A302B">
        <w:rPr>
          <w:rFonts w:eastAsiaTheme="minorHAnsi" w:cs="Arial"/>
          <w:b/>
          <w:color w:val="auto"/>
        </w:rPr>
        <w:tab/>
      </w:r>
    </w:p>
    <w:tbl>
      <w:tblPr>
        <w:tblStyle w:val="TableGrid1"/>
        <w:tblW w:w="0" w:type="auto"/>
        <w:tblInd w:w="737" w:type="dxa"/>
        <w:tblLook w:val="04A0" w:firstRow="1" w:lastRow="0" w:firstColumn="1" w:lastColumn="0" w:noHBand="0" w:noVBand="1"/>
      </w:tblPr>
      <w:tblGrid>
        <w:gridCol w:w="2943"/>
        <w:gridCol w:w="1444"/>
        <w:gridCol w:w="1444"/>
        <w:gridCol w:w="2004"/>
      </w:tblGrid>
      <w:tr w:rsidR="0064234F" w:rsidRPr="00547AF2" w:rsidTr="003B6746">
        <w:tc>
          <w:tcPr>
            <w:tcW w:w="2943" w:type="dxa"/>
          </w:tcPr>
          <w:p w:rsidR="0064234F" w:rsidRPr="00547AF2" w:rsidRDefault="0064234F" w:rsidP="00547AF2">
            <w:pPr>
              <w:spacing w:after="0" w:line="276" w:lineRule="auto"/>
              <w:rPr>
                <w:b/>
                <w:color w:val="auto"/>
                <w:sz w:val="22"/>
                <w:szCs w:val="22"/>
              </w:rPr>
            </w:pPr>
            <w:r w:rsidRPr="00547AF2">
              <w:rPr>
                <w:b/>
                <w:color w:val="auto"/>
                <w:sz w:val="22"/>
                <w:szCs w:val="22"/>
              </w:rPr>
              <w:t>Reason For Claim</w:t>
            </w:r>
          </w:p>
        </w:tc>
        <w:tc>
          <w:tcPr>
            <w:tcW w:w="1444" w:type="dxa"/>
          </w:tcPr>
          <w:p w:rsidR="0064234F" w:rsidRPr="00547AF2" w:rsidRDefault="0064234F" w:rsidP="00547AF2">
            <w:pPr>
              <w:spacing w:after="0" w:line="276" w:lineRule="auto"/>
              <w:rPr>
                <w:b/>
                <w:color w:val="auto"/>
                <w:sz w:val="22"/>
                <w:szCs w:val="22"/>
              </w:rPr>
            </w:pPr>
            <w:r w:rsidRPr="00547AF2">
              <w:rPr>
                <w:b/>
                <w:color w:val="auto"/>
                <w:sz w:val="22"/>
                <w:szCs w:val="22"/>
              </w:rPr>
              <w:t>2013/14</w:t>
            </w:r>
          </w:p>
        </w:tc>
        <w:tc>
          <w:tcPr>
            <w:tcW w:w="1444" w:type="dxa"/>
          </w:tcPr>
          <w:p w:rsidR="0064234F" w:rsidRPr="00547AF2" w:rsidRDefault="0064234F" w:rsidP="00547AF2">
            <w:pPr>
              <w:spacing w:after="0" w:line="276" w:lineRule="auto"/>
              <w:rPr>
                <w:b/>
                <w:color w:val="auto"/>
                <w:sz w:val="22"/>
                <w:szCs w:val="22"/>
              </w:rPr>
            </w:pPr>
            <w:r w:rsidRPr="00547AF2">
              <w:rPr>
                <w:b/>
                <w:color w:val="auto"/>
                <w:sz w:val="22"/>
                <w:szCs w:val="22"/>
              </w:rPr>
              <w:t>2014/15</w:t>
            </w:r>
          </w:p>
        </w:tc>
        <w:tc>
          <w:tcPr>
            <w:tcW w:w="2004" w:type="dxa"/>
          </w:tcPr>
          <w:p w:rsidR="0064234F" w:rsidRPr="00547AF2" w:rsidRDefault="0064234F" w:rsidP="00547AF2">
            <w:pPr>
              <w:spacing w:after="0" w:line="276" w:lineRule="auto"/>
              <w:rPr>
                <w:b/>
                <w:color w:val="auto"/>
                <w:sz w:val="22"/>
                <w:szCs w:val="22"/>
              </w:rPr>
            </w:pPr>
            <w:r w:rsidRPr="00547AF2">
              <w:rPr>
                <w:b/>
                <w:color w:val="auto"/>
                <w:sz w:val="22"/>
                <w:szCs w:val="22"/>
              </w:rPr>
              <w:t xml:space="preserve">2015/16 </w:t>
            </w:r>
            <w:r w:rsidR="00D62E53" w:rsidRPr="00547AF2">
              <w:rPr>
                <w:color w:val="auto"/>
                <w:sz w:val="22"/>
                <w:szCs w:val="22"/>
              </w:rPr>
              <w:t xml:space="preserve">( at </w:t>
            </w:r>
            <w:r w:rsidRPr="00547AF2">
              <w:rPr>
                <w:color w:val="auto"/>
                <w:sz w:val="22"/>
                <w:szCs w:val="22"/>
              </w:rPr>
              <w:t>1 February 2016</w:t>
            </w:r>
            <w:r w:rsidR="00D62E53" w:rsidRPr="00547AF2">
              <w:rPr>
                <w:color w:val="auto"/>
                <w:sz w:val="22"/>
                <w:szCs w:val="22"/>
              </w:rPr>
              <w:t>)</w:t>
            </w:r>
          </w:p>
        </w:tc>
      </w:tr>
      <w:tr w:rsidR="0064234F" w:rsidRPr="00547AF2" w:rsidTr="00547AF2">
        <w:trPr>
          <w:trHeight w:val="381"/>
        </w:trPr>
        <w:tc>
          <w:tcPr>
            <w:tcW w:w="2943" w:type="dxa"/>
          </w:tcPr>
          <w:p w:rsidR="0064234F" w:rsidRPr="00547AF2" w:rsidRDefault="0064234F" w:rsidP="00547AF2">
            <w:pPr>
              <w:spacing w:after="0" w:line="276" w:lineRule="auto"/>
              <w:rPr>
                <w:color w:val="auto"/>
                <w:sz w:val="22"/>
                <w:szCs w:val="22"/>
              </w:rPr>
            </w:pPr>
            <w:r w:rsidRPr="00547AF2">
              <w:rPr>
                <w:color w:val="auto"/>
                <w:sz w:val="22"/>
                <w:szCs w:val="22"/>
              </w:rPr>
              <w:t>Benefit Cap</w:t>
            </w:r>
          </w:p>
        </w:tc>
        <w:tc>
          <w:tcPr>
            <w:tcW w:w="1444" w:type="dxa"/>
          </w:tcPr>
          <w:p w:rsidR="0064234F" w:rsidRPr="00547AF2" w:rsidRDefault="0064234F" w:rsidP="00547AF2">
            <w:pPr>
              <w:spacing w:after="0" w:line="276" w:lineRule="auto"/>
              <w:rPr>
                <w:color w:val="auto"/>
                <w:sz w:val="22"/>
                <w:szCs w:val="22"/>
              </w:rPr>
            </w:pPr>
            <w:r w:rsidRPr="00547AF2">
              <w:rPr>
                <w:color w:val="auto"/>
                <w:sz w:val="22"/>
                <w:szCs w:val="22"/>
              </w:rPr>
              <w:t>£213,065</w:t>
            </w:r>
          </w:p>
        </w:tc>
        <w:tc>
          <w:tcPr>
            <w:tcW w:w="1444" w:type="dxa"/>
          </w:tcPr>
          <w:p w:rsidR="0064234F" w:rsidRPr="00547AF2" w:rsidRDefault="0064234F" w:rsidP="00547AF2">
            <w:pPr>
              <w:spacing w:after="0" w:line="276" w:lineRule="auto"/>
              <w:rPr>
                <w:color w:val="auto"/>
                <w:sz w:val="22"/>
                <w:szCs w:val="22"/>
              </w:rPr>
            </w:pPr>
            <w:r w:rsidRPr="00547AF2">
              <w:rPr>
                <w:color w:val="auto"/>
                <w:sz w:val="22"/>
                <w:szCs w:val="22"/>
              </w:rPr>
              <w:t>£224,293</w:t>
            </w:r>
          </w:p>
        </w:tc>
        <w:tc>
          <w:tcPr>
            <w:tcW w:w="2004" w:type="dxa"/>
          </w:tcPr>
          <w:p w:rsidR="0064234F" w:rsidRPr="00547AF2" w:rsidRDefault="0064234F" w:rsidP="00547AF2">
            <w:pPr>
              <w:spacing w:after="0" w:line="276" w:lineRule="auto"/>
              <w:rPr>
                <w:color w:val="auto"/>
                <w:sz w:val="22"/>
                <w:szCs w:val="22"/>
              </w:rPr>
            </w:pPr>
            <w:r w:rsidRPr="00547AF2">
              <w:rPr>
                <w:color w:val="auto"/>
                <w:sz w:val="22"/>
                <w:szCs w:val="22"/>
              </w:rPr>
              <w:t>£112,992</w:t>
            </w:r>
          </w:p>
        </w:tc>
      </w:tr>
      <w:tr w:rsidR="0064234F" w:rsidRPr="00547AF2" w:rsidTr="003B6746">
        <w:tc>
          <w:tcPr>
            <w:tcW w:w="2943" w:type="dxa"/>
          </w:tcPr>
          <w:p w:rsidR="0064234F" w:rsidRPr="00547AF2" w:rsidRDefault="0064234F" w:rsidP="00547AF2">
            <w:pPr>
              <w:spacing w:after="0" w:line="276" w:lineRule="auto"/>
              <w:rPr>
                <w:color w:val="auto"/>
                <w:sz w:val="22"/>
                <w:szCs w:val="22"/>
              </w:rPr>
            </w:pPr>
            <w:r w:rsidRPr="00547AF2">
              <w:rPr>
                <w:color w:val="auto"/>
                <w:sz w:val="22"/>
                <w:szCs w:val="22"/>
              </w:rPr>
              <w:t>Bedroom Tax</w:t>
            </w:r>
          </w:p>
        </w:tc>
        <w:tc>
          <w:tcPr>
            <w:tcW w:w="1444" w:type="dxa"/>
          </w:tcPr>
          <w:p w:rsidR="0064234F" w:rsidRPr="00547AF2" w:rsidRDefault="0064234F" w:rsidP="00547AF2">
            <w:pPr>
              <w:spacing w:after="0" w:line="276" w:lineRule="auto"/>
              <w:rPr>
                <w:color w:val="auto"/>
                <w:sz w:val="22"/>
                <w:szCs w:val="22"/>
              </w:rPr>
            </w:pPr>
            <w:r w:rsidRPr="00547AF2">
              <w:rPr>
                <w:color w:val="auto"/>
                <w:sz w:val="22"/>
                <w:szCs w:val="22"/>
              </w:rPr>
              <w:t>£124,386</w:t>
            </w:r>
          </w:p>
        </w:tc>
        <w:tc>
          <w:tcPr>
            <w:tcW w:w="1444" w:type="dxa"/>
          </w:tcPr>
          <w:p w:rsidR="0064234F" w:rsidRPr="00547AF2" w:rsidRDefault="0064234F" w:rsidP="00547AF2">
            <w:pPr>
              <w:spacing w:after="0" w:line="276" w:lineRule="auto"/>
              <w:rPr>
                <w:color w:val="auto"/>
                <w:sz w:val="22"/>
                <w:szCs w:val="22"/>
              </w:rPr>
            </w:pPr>
            <w:r w:rsidRPr="00547AF2">
              <w:rPr>
                <w:color w:val="auto"/>
                <w:sz w:val="22"/>
                <w:szCs w:val="22"/>
              </w:rPr>
              <w:t>£95,135</w:t>
            </w:r>
          </w:p>
        </w:tc>
        <w:tc>
          <w:tcPr>
            <w:tcW w:w="2004" w:type="dxa"/>
          </w:tcPr>
          <w:p w:rsidR="0064234F" w:rsidRPr="00547AF2" w:rsidRDefault="0064234F" w:rsidP="00547AF2">
            <w:pPr>
              <w:spacing w:after="0" w:line="276" w:lineRule="auto"/>
              <w:rPr>
                <w:color w:val="auto"/>
                <w:sz w:val="22"/>
                <w:szCs w:val="22"/>
              </w:rPr>
            </w:pPr>
            <w:r w:rsidRPr="00547AF2">
              <w:rPr>
                <w:color w:val="auto"/>
                <w:sz w:val="22"/>
                <w:szCs w:val="22"/>
              </w:rPr>
              <w:t>£34,276</w:t>
            </w:r>
          </w:p>
        </w:tc>
      </w:tr>
      <w:tr w:rsidR="0064234F" w:rsidRPr="00547AF2" w:rsidTr="003B6746">
        <w:tc>
          <w:tcPr>
            <w:tcW w:w="2943" w:type="dxa"/>
          </w:tcPr>
          <w:p w:rsidR="0064234F" w:rsidRPr="00547AF2" w:rsidRDefault="0064234F" w:rsidP="00547AF2">
            <w:pPr>
              <w:spacing w:after="0" w:line="276" w:lineRule="auto"/>
              <w:rPr>
                <w:color w:val="auto"/>
                <w:sz w:val="22"/>
                <w:szCs w:val="22"/>
              </w:rPr>
            </w:pPr>
            <w:r w:rsidRPr="00547AF2">
              <w:rPr>
                <w:color w:val="auto"/>
                <w:sz w:val="22"/>
                <w:szCs w:val="22"/>
              </w:rPr>
              <w:t>Local Housing Allowance</w:t>
            </w:r>
          </w:p>
        </w:tc>
        <w:tc>
          <w:tcPr>
            <w:tcW w:w="1444" w:type="dxa"/>
          </w:tcPr>
          <w:p w:rsidR="0064234F" w:rsidRPr="00547AF2" w:rsidRDefault="0064234F" w:rsidP="00547AF2">
            <w:pPr>
              <w:spacing w:after="0" w:line="276" w:lineRule="auto"/>
              <w:rPr>
                <w:color w:val="auto"/>
                <w:sz w:val="22"/>
                <w:szCs w:val="22"/>
              </w:rPr>
            </w:pPr>
            <w:r w:rsidRPr="00547AF2">
              <w:rPr>
                <w:color w:val="auto"/>
                <w:sz w:val="22"/>
                <w:szCs w:val="22"/>
              </w:rPr>
              <w:t>£93,005</w:t>
            </w:r>
          </w:p>
        </w:tc>
        <w:tc>
          <w:tcPr>
            <w:tcW w:w="1444" w:type="dxa"/>
          </w:tcPr>
          <w:p w:rsidR="0064234F" w:rsidRPr="00547AF2" w:rsidRDefault="0064234F" w:rsidP="00547AF2">
            <w:pPr>
              <w:spacing w:after="0" w:line="276" w:lineRule="auto"/>
              <w:rPr>
                <w:color w:val="auto"/>
                <w:sz w:val="22"/>
                <w:szCs w:val="22"/>
              </w:rPr>
            </w:pPr>
            <w:r w:rsidRPr="00547AF2">
              <w:rPr>
                <w:color w:val="auto"/>
                <w:sz w:val="22"/>
                <w:szCs w:val="22"/>
              </w:rPr>
              <w:t>£121,441</w:t>
            </w:r>
          </w:p>
        </w:tc>
        <w:tc>
          <w:tcPr>
            <w:tcW w:w="2004" w:type="dxa"/>
          </w:tcPr>
          <w:p w:rsidR="0064234F" w:rsidRPr="00547AF2" w:rsidRDefault="0064234F" w:rsidP="00547AF2">
            <w:pPr>
              <w:spacing w:after="0" w:line="276" w:lineRule="auto"/>
              <w:rPr>
                <w:color w:val="auto"/>
                <w:sz w:val="22"/>
                <w:szCs w:val="22"/>
              </w:rPr>
            </w:pPr>
            <w:r w:rsidRPr="00547AF2">
              <w:rPr>
                <w:color w:val="auto"/>
                <w:sz w:val="22"/>
                <w:szCs w:val="22"/>
              </w:rPr>
              <w:t>£67,785</w:t>
            </w:r>
          </w:p>
        </w:tc>
      </w:tr>
      <w:tr w:rsidR="0064234F" w:rsidRPr="00547AF2" w:rsidTr="003B6746">
        <w:tc>
          <w:tcPr>
            <w:tcW w:w="2943" w:type="dxa"/>
          </w:tcPr>
          <w:p w:rsidR="0064234F" w:rsidRPr="00547AF2" w:rsidRDefault="0064234F" w:rsidP="00547AF2">
            <w:pPr>
              <w:spacing w:after="0" w:line="276" w:lineRule="auto"/>
              <w:rPr>
                <w:color w:val="auto"/>
                <w:sz w:val="22"/>
                <w:szCs w:val="22"/>
              </w:rPr>
            </w:pPr>
            <w:r w:rsidRPr="00547AF2">
              <w:rPr>
                <w:color w:val="auto"/>
                <w:sz w:val="22"/>
                <w:szCs w:val="22"/>
              </w:rPr>
              <w:t>Combination of Above</w:t>
            </w:r>
          </w:p>
        </w:tc>
        <w:tc>
          <w:tcPr>
            <w:tcW w:w="1444" w:type="dxa"/>
          </w:tcPr>
          <w:p w:rsidR="0064234F" w:rsidRPr="00547AF2" w:rsidRDefault="0064234F" w:rsidP="00547AF2">
            <w:pPr>
              <w:spacing w:after="0" w:line="276" w:lineRule="auto"/>
              <w:rPr>
                <w:color w:val="auto"/>
                <w:sz w:val="22"/>
                <w:szCs w:val="22"/>
              </w:rPr>
            </w:pPr>
            <w:r w:rsidRPr="00547AF2">
              <w:rPr>
                <w:color w:val="auto"/>
                <w:sz w:val="22"/>
                <w:szCs w:val="22"/>
              </w:rPr>
              <w:t>£1,681</w:t>
            </w:r>
          </w:p>
        </w:tc>
        <w:tc>
          <w:tcPr>
            <w:tcW w:w="1444" w:type="dxa"/>
          </w:tcPr>
          <w:p w:rsidR="0064234F" w:rsidRPr="00547AF2" w:rsidRDefault="0064234F" w:rsidP="00547AF2">
            <w:pPr>
              <w:spacing w:after="0" w:line="276" w:lineRule="auto"/>
              <w:rPr>
                <w:color w:val="auto"/>
                <w:sz w:val="22"/>
                <w:szCs w:val="22"/>
              </w:rPr>
            </w:pPr>
            <w:r w:rsidRPr="00547AF2">
              <w:rPr>
                <w:color w:val="auto"/>
                <w:sz w:val="22"/>
                <w:szCs w:val="22"/>
              </w:rPr>
              <w:t>£5,410</w:t>
            </w:r>
          </w:p>
        </w:tc>
        <w:tc>
          <w:tcPr>
            <w:tcW w:w="2004" w:type="dxa"/>
          </w:tcPr>
          <w:p w:rsidR="0064234F" w:rsidRPr="00547AF2" w:rsidRDefault="0064234F" w:rsidP="00547AF2">
            <w:pPr>
              <w:spacing w:after="0" w:line="276" w:lineRule="auto"/>
              <w:rPr>
                <w:color w:val="auto"/>
                <w:sz w:val="22"/>
                <w:szCs w:val="22"/>
              </w:rPr>
            </w:pPr>
            <w:r w:rsidRPr="00547AF2">
              <w:rPr>
                <w:color w:val="auto"/>
                <w:sz w:val="22"/>
                <w:szCs w:val="22"/>
              </w:rPr>
              <w:t>£1,174</w:t>
            </w:r>
          </w:p>
        </w:tc>
      </w:tr>
      <w:tr w:rsidR="0064234F" w:rsidRPr="00547AF2" w:rsidTr="003B6746">
        <w:tc>
          <w:tcPr>
            <w:tcW w:w="2943" w:type="dxa"/>
          </w:tcPr>
          <w:p w:rsidR="0064234F" w:rsidRPr="00547AF2" w:rsidRDefault="0064234F" w:rsidP="00547AF2">
            <w:pPr>
              <w:spacing w:after="0" w:line="276" w:lineRule="auto"/>
              <w:rPr>
                <w:color w:val="auto"/>
                <w:sz w:val="22"/>
                <w:szCs w:val="22"/>
              </w:rPr>
            </w:pPr>
            <w:r w:rsidRPr="00547AF2">
              <w:rPr>
                <w:color w:val="auto"/>
                <w:sz w:val="22"/>
                <w:szCs w:val="22"/>
              </w:rPr>
              <w:t>Other</w:t>
            </w:r>
          </w:p>
        </w:tc>
        <w:tc>
          <w:tcPr>
            <w:tcW w:w="1444" w:type="dxa"/>
          </w:tcPr>
          <w:p w:rsidR="0064234F" w:rsidRPr="00547AF2" w:rsidRDefault="0064234F" w:rsidP="00547AF2">
            <w:pPr>
              <w:spacing w:after="0" w:line="276" w:lineRule="auto"/>
              <w:rPr>
                <w:color w:val="auto"/>
                <w:sz w:val="22"/>
                <w:szCs w:val="22"/>
              </w:rPr>
            </w:pPr>
            <w:r w:rsidRPr="00547AF2">
              <w:rPr>
                <w:color w:val="auto"/>
                <w:sz w:val="22"/>
                <w:szCs w:val="22"/>
              </w:rPr>
              <w:t>£12,550</w:t>
            </w:r>
          </w:p>
        </w:tc>
        <w:tc>
          <w:tcPr>
            <w:tcW w:w="1444" w:type="dxa"/>
          </w:tcPr>
          <w:p w:rsidR="0064234F" w:rsidRPr="00547AF2" w:rsidRDefault="0064234F" w:rsidP="00547AF2">
            <w:pPr>
              <w:spacing w:after="0" w:line="276" w:lineRule="auto"/>
              <w:rPr>
                <w:color w:val="auto"/>
                <w:sz w:val="22"/>
                <w:szCs w:val="22"/>
              </w:rPr>
            </w:pPr>
            <w:r w:rsidRPr="00547AF2">
              <w:rPr>
                <w:color w:val="auto"/>
                <w:sz w:val="22"/>
                <w:szCs w:val="22"/>
              </w:rPr>
              <w:t>£29,870</w:t>
            </w:r>
          </w:p>
        </w:tc>
        <w:tc>
          <w:tcPr>
            <w:tcW w:w="2004" w:type="dxa"/>
          </w:tcPr>
          <w:p w:rsidR="0064234F" w:rsidRPr="00547AF2" w:rsidRDefault="0064234F" w:rsidP="00547AF2">
            <w:pPr>
              <w:spacing w:after="0" w:line="276" w:lineRule="auto"/>
              <w:rPr>
                <w:color w:val="auto"/>
                <w:sz w:val="22"/>
                <w:szCs w:val="22"/>
              </w:rPr>
            </w:pPr>
            <w:r w:rsidRPr="00547AF2">
              <w:rPr>
                <w:color w:val="auto"/>
                <w:sz w:val="22"/>
                <w:szCs w:val="22"/>
              </w:rPr>
              <w:t>£13,787</w:t>
            </w:r>
          </w:p>
        </w:tc>
      </w:tr>
    </w:tbl>
    <w:p w:rsidR="0064234F" w:rsidRPr="00AC656D" w:rsidRDefault="0064234F" w:rsidP="00AC656D">
      <w:pPr>
        <w:spacing w:after="200" w:line="276" w:lineRule="auto"/>
        <w:rPr>
          <w:rFonts w:eastAsiaTheme="minorHAnsi" w:cs="Arial"/>
          <w:color w:val="auto"/>
        </w:rPr>
      </w:pPr>
    </w:p>
    <w:p w:rsidR="0064234F" w:rsidRPr="000011DB" w:rsidRDefault="0064234F" w:rsidP="007D7BBA">
      <w:pPr>
        <w:pStyle w:val="ListParagraph"/>
        <w:numPr>
          <w:ilvl w:val="0"/>
          <w:numId w:val="0"/>
        </w:numPr>
        <w:tabs>
          <w:tab w:val="clear" w:pos="426"/>
        </w:tabs>
        <w:spacing w:after="200" w:line="276" w:lineRule="auto"/>
        <w:ind w:left="1276" w:hanging="567"/>
        <w:rPr>
          <w:rFonts w:eastAsiaTheme="minorHAnsi" w:cs="Arial"/>
          <w:color w:val="auto"/>
        </w:rPr>
      </w:pPr>
      <w:r w:rsidRPr="008A302B">
        <w:rPr>
          <w:rFonts w:eastAsiaTheme="minorHAnsi" w:cs="Arial"/>
          <w:color w:val="auto"/>
        </w:rPr>
        <w:t>NB</w:t>
      </w:r>
      <w:r w:rsidRPr="007D7BBA">
        <w:rPr>
          <w:rFonts w:eastAsiaTheme="minorHAnsi" w:cs="Arial"/>
          <w:b/>
          <w:color w:val="auto"/>
        </w:rPr>
        <w:t>:</w:t>
      </w:r>
      <w:r w:rsidRPr="000011DB">
        <w:rPr>
          <w:rFonts w:eastAsiaTheme="minorHAnsi" w:cs="Arial"/>
          <w:color w:val="auto"/>
        </w:rPr>
        <w:t xml:space="preserve"> The figures quoted in paragraph </w:t>
      </w:r>
      <w:r w:rsidR="00D62E53" w:rsidRPr="000011DB">
        <w:rPr>
          <w:rFonts w:eastAsiaTheme="minorHAnsi" w:cs="Arial"/>
          <w:color w:val="auto"/>
        </w:rPr>
        <w:t>4</w:t>
      </w:r>
      <w:r w:rsidRPr="000011DB">
        <w:rPr>
          <w:rFonts w:eastAsiaTheme="minorHAnsi" w:cs="Arial"/>
          <w:color w:val="auto"/>
        </w:rPr>
        <w:t xml:space="preserve"> above, are taken from the Benefits system, and are different from those in the above table. This is because the benefits system takes account of awards for claims which end prematurely, </w:t>
      </w:r>
      <w:r w:rsidRPr="000011DB">
        <w:rPr>
          <w:rFonts w:eastAsiaTheme="minorHAnsi" w:cs="Arial"/>
          <w:color w:val="auto"/>
        </w:rPr>
        <w:lastRenderedPageBreak/>
        <w:t>or where there are minor adjustments to the amount of benefit claimed, but cannot easily record the reason for the claim. Hence the reason for claims is recorded manually in a spread sheet together with the original award amount (the figure shown in the table).</w:t>
      </w:r>
    </w:p>
    <w:p w:rsidR="0064234F" w:rsidRPr="00AC656D" w:rsidRDefault="00C043CF" w:rsidP="00AC656D">
      <w:pPr>
        <w:pStyle w:val="ListParagraph"/>
        <w:numPr>
          <w:ilvl w:val="0"/>
          <w:numId w:val="35"/>
        </w:numPr>
        <w:spacing w:after="200" w:line="276" w:lineRule="auto"/>
        <w:rPr>
          <w:rFonts w:eastAsiaTheme="minorHAnsi" w:cs="Arial"/>
          <w:color w:val="auto"/>
        </w:rPr>
      </w:pPr>
      <w:r>
        <w:rPr>
          <w:rFonts w:eastAsiaTheme="minorHAnsi" w:cs="Arial"/>
          <w:color w:val="auto"/>
        </w:rPr>
        <w:t>T</w:t>
      </w:r>
      <w:r w:rsidR="0064234F" w:rsidRPr="000011DB">
        <w:rPr>
          <w:rFonts w:eastAsiaTheme="minorHAnsi" w:cs="Arial"/>
          <w:color w:val="auto"/>
        </w:rPr>
        <w:t xml:space="preserve">able </w:t>
      </w:r>
      <w:r>
        <w:rPr>
          <w:rFonts w:eastAsiaTheme="minorHAnsi" w:cs="Arial"/>
          <w:color w:val="auto"/>
        </w:rPr>
        <w:t>3</w:t>
      </w:r>
      <w:r w:rsidR="0064234F" w:rsidRPr="000011DB">
        <w:rPr>
          <w:rFonts w:eastAsiaTheme="minorHAnsi" w:cs="Arial"/>
          <w:color w:val="auto"/>
        </w:rPr>
        <w:t xml:space="preserve"> shows that the main reason for the reduced expenditure in the current year is the reduced demand from Benefit Cap customers. Since the Benefit Cap was introduced in 2013, it has affected 235 households in Oxford. However</w:t>
      </w:r>
      <w:r w:rsidR="000011DB">
        <w:rPr>
          <w:rFonts w:eastAsiaTheme="minorHAnsi" w:cs="Arial"/>
          <w:color w:val="auto"/>
        </w:rPr>
        <w:t>,</w:t>
      </w:r>
      <w:r w:rsidR="0064234F" w:rsidRPr="000011DB">
        <w:rPr>
          <w:rFonts w:eastAsiaTheme="minorHAnsi" w:cs="Arial"/>
          <w:color w:val="auto"/>
        </w:rPr>
        <w:t xml:space="preserve"> currently there are only 65 households who are still affected. DHP’s have been use</w:t>
      </w:r>
      <w:r w:rsidR="0064234F" w:rsidRPr="000020F1">
        <w:rPr>
          <w:rFonts w:eastAsiaTheme="minorHAnsi" w:cs="Arial"/>
          <w:color w:val="auto"/>
        </w:rPr>
        <w:t xml:space="preserve">d effectively to help </w:t>
      </w:r>
      <w:proofErr w:type="gramStart"/>
      <w:r w:rsidR="0064234F" w:rsidRPr="000020F1">
        <w:rPr>
          <w:rFonts w:eastAsiaTheme="minorHAnsi" w:cs="Arial"/>
          <w:color w:val="auto"/>
        </w:rPr>
        <w:t>customers</w:t>
      </w:r>
      <w:proofErr w:type="gramEnd"/>
      <w:r w:rsidR="0064234F" w:rsidRPr="000020F1">
        <w:rPr>
          <w:rFonts w:eastAsiaTheme="minorHAnsi" w:cs="Arial"/>
          <w:color w:val="auto"/>
        </w:rPr>
        <w:t xml:space="preserve"> who have been capped, with 76 being supported into work. This is forecast to reduce DHP expenditure in this area by £100,000 this year.</w:t>
      </w:r>
    </w:p>
    <w:p w:rsidR="008472DE" w:rsidRDefault="0064234F" w:rsidP="008472DE">
      <w:pPr>
        <w:pStyle w:val="ListParagraph"/>
        <w:numPr>
          <w:ilvl w:val="0"/>
          <w:numId w:val="35"/>
        </w:numPr>
        <w:spacing w:after="200" w:line="276" w:lineRule="auto"/>
        <w:rPr>
          <w:rFonts w:eastAsiaTheme="minorHAnsi" w:cs="Arial"/>
          <w:color w:val="auto"/>
        </w:rPr>
      </w:pPr>
      <w:r w:rsidRPr="008472DE">
        <w:rPr>
          <w:rFonts w:eastAsiaTheme="minorHAnsi" w:cs="Arial"/>
          <w:color w:val="auto"/>
        </w:rPr>
        <w:t xml:space="preserve">Demand for DHP’s has also reduced in other areas. There are currently 568 customers affected by the Bedroom Tax compared to a peak of 724 in 2014/15. </w:t>
      </w:r>
      <w:r w:rsidR="008472DE" w:rsidRPr="008472DE">
        <w:rPr>
          <w:rFonts w:eastAsiaTheme="minorHAnsi" w:cs="Arial"/>
          <w:color w:val="auto"/>
        </w:rPr>
        <w:t xml:space="preserve">From April 2014 to February 2016, the number of people renting privately and in receipt of Housing Benefit (called Local Housing Allowance) has reduced from 3,106 to 2,548. </w:t>
      </w:r>
      <w:r w:rsidRPr="008472DE">
        <w:rPr>
          <w:rFonts w:eastAsiaTheme="minorHAnsi" w:cs="Arial"/>
          <w:color w:val="auto"/>
        </w:rPr>
        <w:t xml:space="preserve">The Benefit caseload has reduced in Oxford from </w:t>
      </w:r>
      <w:r w:rsidR="008A302B" w:rsidRPr="008472DE">
        <w:rPr>
          <w:rFonts w:eastAsiaTheme="minorHAnsi" w:cs="Arial"/>
          <w:color w:val="auto"/>
        </w:rPr>
        <w:t>12,240 to</w:t>
      </w:r>
      <w:r w:rsidRPr="008472DE">
        <w:rPr>
          <w:rFonts w:eastAsiaTheme="minorHAnsi" w:cs="Arial"/>
          <w:color w:val="auto"/>
        </w:rPr>
        <w:t xml:space="preserve"> 11,472 </w:t>
      </w:r>
      <w:r w:rsidR="008472DE">
        <w:rPr>
          <w:rFonts w:eastAsiaTheme="minorHAnsi" w:cs="Arial"/>
          <w:color w:val="auto"/>
        </w:rPr>
        <w:t>over the same period</w:t>
      </w:r>
      <w:r w:rsidR="00C043CF" w:rsidRPr="008472DE">
        <w:rPr>
          <w:rFonts w:eastAsiaTheme="minorHAnsi" w:cs="Arial"/>
          <w:color w:val="auto"/>
        </w:rPr>
        <w:t>. This is due mainly to the improved economic situation in Oxford, after benefit claims peaked as a result of the recession of 2008/09 and subsequent slow recovery</w:t>
      </w:r>
      <w:r w:rsidRPr="008472DE">
        <w:rPr>
          <w:rFonts w:eastAsiaTheme="minorHAnsi" w:cs="Arial"/>
          <w:color w:val="auto"/>
        </w:rPr>
        <w:t xml:space="preserve">. </w:t>
      </w:r>
    </w:p>
    <w:p w:rsidR="0064234F" w:rsidRPr="008472DE" w:rsidRDefault="0064234F" w:rsidP="008472DE">
      <w:pPr>
        <w:pStyle w:val="ListParagraph"/>
        <w:numPr>
          <w:ilvl w:val="0"/>
          <w:numId w:val="35"/>
        </w:numPr>
        <w:spacing w:after="200" w:line="276" w:lineRule="auto"/>
        <w:rPr>
          <w:rFonts w:eastAsiaTheme="minorHAnsi" w:cs="Arial"/>
          <w:color w:val="auto"/>
        </w:rPr>
      </w:pPr>
      <w:r w:rsidRPr="008472DE">
        <w:rPr>
          <w:rFonts w:eastAsiaTheme="minorHAnsi" w:cs="Arial"/>
          <w:color w:val="auto"/>
        </w:rPr>
        <w:t>DHP awards require action plans to be agreed so that customers are supported to manage their shortfalls themselves.  Action plans have b</w:t>
      </w:r>
      <w:r w:rsidR="008270C9" w:rsidRPr="008472DE">
        <w:rPr>
          <w:rFonts w:eastAsiaTheme="minorHAnsi" w:cs="Arial"/>
          <w:color w:val="auto"/>
        </w:rPr>
        <w:t>een agreed with applicants in 356</w:t>
      </w:r>
      <w:r w:rsidRPr="008472DE">
        <w:rPr>
          <w:rFonts w:eastAsiaTheme="minorHAnsi" w:cs="Arial"/>
          <w:color w:val="auto"/>
        </w:rPr>
        <w:t xml:space="preserve"> awards made this year. The top five actions are shown in the table below. An action plan would not be agreed for awards made for a short fixed period, such as supporting someone as they move into employment.</w:t>
      </w:r>
      <w:r w:rsidR="00FB0EC3" w:rsidRPr="008472DE">
        <w:rPr>
          <w:rFonts w:eastAsiaTheme="minorHAnsi" w:cs="Arial"/>
          <w:color w:val="auto"/>
        </w:rPr>
        <w:t xml:space="preserve"> There have been 18 awards made without conditions in the last year.</w:t>
      </w:r>
    </w:p>
    <w:p w:rsidR="007D7BBA" w:rsidRPr="00FB0EC3" w:rsidRDefault="007D7BBA" w:rsidP="00FB0EC3">
      <w:pPr>
        <w:spacing w:after="200" w:line="276" w:lineRule="auto"/>
        <w:ind w:left="360"/>
        <w:rPr>
          <w:rFonts w:eastAsiaTheme="minorHAnsi" w:cs="Arial"/>
          <w:b/>
          <w:color w:val="auto"/>
        </w:rPr>
      </w:pPr>
      <w:r w:rsidRPr="00FB0EC3">
        <w:rPr>
          <w:rFonts w:eastAsiaTheme="minorHAnsi" w:cs="Arial"/>
          <w:b/>
          <w:color w:val="auto"/>
        </w:rPr>
        <w:t>Table 4</w:t>
      </w:r>
    </w:p>
    <w:tbl>
      <w:tblPr>
        <w:tblStyle w:val="TableGrid1"/>
        <w:tblW w:w="0" w:type="auto"/>
        <w:tblInd w:w="488" w:type="dxa"/>
        <w:tblLook w:val="04A0" w:firstRow="1" w:lastRow="0" w:firstColumn="1" w:lastColumn="0" w:noHBand="0" w:noVBand="1"/>
      </w:tblPr>
      <w:tblGrid>
        <w:gridCol w:w="4928"/>
        <w:gridCol w:w="2268"/>
      </w:tblGrid>
      <w:tr w:rsidR="0064234F" w:rsidRPr="00AC656D" w:rsidTr="003B6746">
        <w:tc>
          <w:tcPr>
            <w:tcW w:w="4928" w:type="dxa"/>
          </w:tcPr>
          <w:p w:rsidR="0064234F" w:rsidRPr="00AC656D" w:rsidRDefault="0064234F" w:rsidP="00B42D23">
            <w:pPr>
              <w:spacing w:after="200" w:line="276" w:lineRule="auto"/>
              <w:rPr>
                <w:b/>
                <w:color w:val="auto"/>
              </w:rPr>
            </w:pPr>
            <w:r w:rsidRPr="00AC656D">
              <w:rPr>
                <w:b/>
                <w:color w:val="auto"/>
              </w:rPr>
              <w:t>Agreed action</w:t>
            </w:r>
          </w:p>
        </w:tc>
        <w:tc>
          <w:tcPr>
            <w:tcW w:w="2268" w:type="dxa"/>
          </w:tcPr>
          <w:p w:rsidR="0064234F" w:rsidRPr="00AC656D" w:rsidRDefault="0064234F" w:rsidP="00C715B1">
            <w:pPr>
              <w:spacing w:after="200" w:line="276" w:lineRule="auto"/>
              <w:ind w:left="360"/>
              <w:rPr>
                <w:b/>
                <w:color w:val="auto"/>
              </w:rPr>
            </w:pPr>
            <w:r w:rsidRPr="00AC656D">
              <w:rPr>
                <w:b/>
                <w:color w:val="auto"/>
              </w:rPr>
              <w:t>Totals</w:t>
            </w:r>
          </w:p>
        </w:tc>
      </w:tr>
      <w:tr w:rsidR="0064234F" w:rsidRPr="00AC656D" w:rsidTr="003B6746">
        <w:tc>
          <w:tcPr>
            <w:tcW w:w="4928" w:type="dxa"/>
          </w:tcPr>
          <w:p w:rsidR="0064234F" w:rsidRPr="00AC656D" w:rsidRDefault="0064234F" w:rsidP="00AC656D">
            <w:pPr>
              <w:spacing w:after="200" w:line="276" w:lineRule="auto"/>
              <w:rPr>
                <w:color w:val="auto"/>
              </w:rPr>
            </w:pPr>
            <w:r w:rsidRPr="00AC656D">
              <w:rPr>
                <w:color w:val="auto"/>
              </w:rPr>
              <w:t>Look for work</w:t>
            </w:r>
          </w:p>
        </w:tc>
        <w:tc>
          <w:tcPr>
            <w:tcW w:w="2268" w:type="dxa"/>
          </w:tcPr>
          <w:p w:rsidR="0064234F" w:rsidRPr="00AC656D" w:rsidRDefault="0064234F" w:rsidP="00FB0EC3">
            <w:pPr>
              <w:spacing w:after="200" w:line="276" w:lineRule="auto"/>
              <w:ind w:left="360"/>
              <w:jc w:val="right"/>
              <w:rPr>
                <w:color w:val="auto"/>
              </w:rPr>
            </w:pPr>
            <w:r w:rsidRPr="00AC656D">
              <w:rPr>
                <w:color w:val="auto"/>
              </w:rPr>
              <w:t>138</w:t>
            </w:r>
          </w:p>
        </w:tc>
      </w:tr>
      <w:tr w:rsidR="0064234F" w:rsidRPr="00AC656D" w:rsidTr="003B6746">
        <w:tc>
          <w:tcPr>
            <w:tcW w:w="4928" w:type="dxa"/>
          </w:tcPr>
          <w:p w:rsidR="0064234F" w:rsidRPr="00AC656D" w:rsidRDefault="0064234F" w:rsidP="00AC656D">
            <w:pPr>
              <w:spacing w:after="200" w:line="276" w:lineRule="auto"/>
              <w:rPr>
                <w:color w:val="auto"/>
              </w:rPr>
            </w:pPr>
            <w:r w:rsidRPr="00AC656D">
              <w:rPr>
                <w:color w:val="auto"/>
              </w:rPr>
              <w:t>Obtain Debt Advice</w:t>
            </w:r>
          </w:p>
        </w:tc>
        <w:tc>
          <w:tcPr>
            <w:tcW w:w="2268" w:type="dxa"/>
          </w:tcPr>
          <w:p w:rsidR="0064234F" w:rsidRPr="00AC656D" w:rsidRDefault="0064234F" w:rsidP="00FB0EC3">
            <w:pPr>
              <w:spacing w:after="200" w:line="276" w:lineRule="auto"/>
              <w:ind w:left="360"/>
              <w:jc w:val="right"/>
              <w:rPr>
                <w:color w:val="auto"/>
              </w:rPr>
            </w:pPr>
            <w:r w:rsidRPr="00AC656D">
              <w:rPr>
                <w:color w:val="auto"/>
              </w:rPr>
              <w:t>102</w:t>
            </w:r>
          </w:p>
        </w:tc>
      </w:tr>
      <w:tr w:rsidR="0064234F" w:rsidRPr="00AC656D" w:rsidTr="003B6746">
        <w:tc>
          <w:tcPr>
            <w:tcW w:w="4928" w:type="dxa"/>
          </w:tcPr>
          <w:p w:rsidR="0064234F" w:rsidRPr="00AC656D" w:rsidRDefault="0064234F" w:rsidP="00AC656D">
            <w:pPr>
              <w:spacing w:after="200" w:line="276" w:lineRule="auto"/>
              <w:rPr>
                <w:color w:val="auto"/>
              </w:rPr>
            </w:pPr>
            <w:r w:rsidRPr="00AC656D">
              <w:rPr>
                <w:color w:val="auto"/>
              </w:rPr>
              <w:t>Apply for another benefit</w:t>
            </w:r>
          </w:p>
        </w:tc>
        <w:tc>
          <w:tcPr>
            <w:tcW w:w="2268" w:type="dxa"/>
          </w:tcPr>
          <w:p w:rsidR="0064234F" w:rsidRPr="00AC656D" w:rsidRDefault="0064234F" w:rsidP="00FB0EC3">
            <w:pPr>
              <w:spacing w:after="200" w:line="276" w:lineRule="auto"/>
              <w:ind w:left="360"/>
              <w:jc w:val="right"/>
              <w:rPr>
                <w:color w:val="auto"/>
              </w:rPr>
            </w:pPr>
            <w:r w:rsidRPr="00AC656D">
              <w:rPr>
                <w:color w:val="auto"/>
              </w:rPr>
              <w:t>81</w:t>
            </w:r>
          </w:p>
        </w:tc>
      </w:tr>
      <w:tr w:rsidR="0064234F" w:rsidRPr="00AC656D" w:rsidTr="003B6746">
        <w:tc>
          <w:tcPr>
            <w:tcW w:w="4928" w:type="dxa"/>
          </w:tcPr>
          <w:p w:rsidR="0064234F" w:rsidRPr="00AC656D" w:rsidRDefault="0064234F" w:rsidP="00AC656D">
            <w:pPr>
              <w:spacing w:after="200" w:line="276" w:lineRule="auto"/>
              <w:rPr>
                <w:color w:val="auto"/>
              </w:rPr>
            </w:pPr>
            <w:r w:rsidRPr="00AC656D">
              <w:rPr>
                <w:color w:val="auto"/>
              </w:rPr>
              <w:t>Downsize</w:t>
            </w:r>
          </w:p>
        </w:tc>
        <w:tc>
          <w:tcPr>
            <w:tcW w:w="2268" w:type="dxa"/>
          </w:tcPr>
          <w:p w:rsidR="0064234F" w:rsidRPr="00AC656D" w:rsidRDefault="0064234F" w:rsidP="00FB0EC3">
            <w:pPr>
              <w:spacing w:after="200" w:line="276" w:lineRule="auto"/>
              <w:ind w:left="360"/>
              <w:jc w:val="right"/>
              <w:rPr>
                <w:color w:val="auto"/>
              </w:rPr>
            </w:pPr>
            <w:r w:rsidRPr="00AC656D">
              <w:rPr>
                <w:color w:val="auto"/>
              </w:rPr>
              <w:t>64</w:t>
            </w:r>
          </w:p>
        </w:tc>
      </w:tr>
      <w:tr w:rsidR="0064234F" w:rsidRPr="00AC656D" w:rsidTr="003B6746">
        <w:tc>
          <w:tcPr>
            <w:tcW w:w="4928" w:type="dxa"/>
          </w:tcPr>
          <w:p w:rsidR="0064234F" w:rsidRPr="00AC656D" w:rsidRDefault="0064234F" w:rsidP="00AC656D">
            <w:pPr>
              <w:spacing w:after="200" w:line="276" w:lineRule="auto"/>
              <w:rPr>
                <w:color w:val="auto"/>
              </w:rPr>
            </w:pPr>
            <w:r w:rsidRPr="00AC656D">
              <w:rPr>
                <w:color w:val="auto"/>
              </w:rPr>
              <w:t>Engage with a specialist support service</w:t>
            </w:r>
          </w:p>
        </w:tc>
        <w:tc>
          <w:tcPr>
            <w:tcW w:w="2268" w:type="dxa"/>
          </w:tcPr>
          <w:p w:rsidR="0064234F" w:rsidRPr="00AC656D" w:rsidRDefault="0064234F" w:rsidP="00FB0EC3">
            <w:pPr>
              <w:spacing w:after="200" w:line="276" w:lineRule="auto"/>
              <w:ind w:left="360"/>
              <w:jc w:val="right"/>
              <w:rPr>
                <w:color w:val="auto"/>
              </w:rPr>
            </w:pPr>
            <w:r w:rsidRPr="00AC656D">
              <w:rPr>
                <w:color w:val="auto"/>
              </w:rPr>
              <w:t>61</w:t>
            </w:r>
          </w:p>
        </w:tc>
      </w:tr>
    </w:tbl>
    <w:p w:rsidR="0064234F" w:rsidRPr="00AC656D" w:rsidRDefault="0064234F" w:rsidP="00AC656D">
      <w:pPr>
        <w:spacing w:after="200" w:line="276" w:lineRule="auto"/>
        <w:rPr>
          <w:rFonts w:eastAsiaTheme="minorHAnsi" w:cs="Arial"/>
          <w:b/>
          <w:color w:val="auto"/>
        </w:rPr>
      </w:pPr>
    </w:p>
    <w:p w:rsidR="0064234F" w:rsidRPr="00AC656D" w:rsidRDefault="0064234F" w:rsidP="00AC656D">
      <w:pPr>
        <w:spacing w:after="200" w:line="276" w:lineRule="auto"/>
        <w:ind w:left="426" w:hanging="426"/>
        <w:rPr>
          <w:rFonts w:eastAsiaTheme="minorHAnsi" w:cs="Arial"/>
          <w:b/>
          <w:color w:val="auto"/>
        </w:rPr>
      </w:pPr>
      <w:r w:rsidRPr="00AC656D">
        <w:rPr>
          <w:rFonts w:eastAsiaTheme="minorHAnsi" w:cs="Arial"/>
          <w:b/>
          <w:color w:val="auto"/>
        </w:rPr>
        <w:t>Policy Changes</w:t>
      </w:r>
    </w:p>
    <w:p w:rsidR="0064234F" w:rsidRPr="000020F1" w:rsidRDefault="0064234F" w:rsidP="00342E16">
      <w:pPr>
        <w:pStyle w:val="ListParagraph"/>
        <w:numPr>
          <w:ilvl w:val="0"/>
          <w:numId w:val="35"/>
        </w:numPr>
        <w:spacing w:after="200" w:line="276" w:lineRule="auto"/>
        <w:rPr>
          <w:rFonts w:eastAsiaTheme="minorHAnsi" w:cs="Arial"/>
          <w:color w:val="auto"/>
        </w:rPr>
      </w:pPr>
      <w:r w:rsidRPr="00AC656D">
        <w:rPr>
          <w:rFonts w:eastAsiaTheme="minorHAnsi" w:cs="Arial"/>
          <w:color w:val="auto"/>
        </w:rPr>
        <w:t xml:space="preserve">In 2015/16 the DHP policy was narrowed in scope to take account of reduced government funding. This resulted in priority being given to families with children. </w:t>
      </w:r>
      <w:r w:rsidRPr="00AC656D">
        <w:rPr>
          <w:rFonts w:eastAsiaTheme="minorHAnsi" w:cs="Arial"/>
          <w:color w:val="auto"/>
        </w:rPr>
        <w:lastRenderedPageBreak/>
        <w:t>The increase in budget means that this narrowing of priorities can be removed</w:t>
      </w:r>
      <w:r w:rsidRPr="006E0BF0">
        <w:rPr>
          <w:rFonts w:eastAsiaTheme="minorHAnsi" w:cs="Arial"/>
          <w:color w:val="auto"/>
        </w:rPr>
        <w:t xml:space="preserve">. </w:t>
      </w:r>
      <w:r w:rsidR="008472DE">
        <w:rPr>
          <w:rFonts w:eastAsiaTheme="minorHAnsi" w:cs="Arial"/>
          <w:color w:val="auto"/>
        </w:rPr>
        <w:t xml:space="preserve">Although the lowering of the Benefit Cap will impact households with children, the DWP have announced that the measure will not be introduced until the </w:t>
      </w:r>
      <w:proofErr w:type="gramStart"/>
      <w:r w:rsidR="008472DE">
        <w:rPr>
          <w:rFonts w:eastAsiaTheme="minorHAnsi" w:cs="Arial"/>
          <w:color w:val="auto"/>
        </w:rPr>
        <w:t>Autumn</w:t>
      </w:r>
      <w:proofErr w:type="gramEnd"/>
      <w:r w:rsidR="008472DE">
        <w:rPr>
          <w:rFonts w:eastAsiaTheme="minorHAnsi" w:cs="Arial"/>
          <w:color w:val="auto"/>
        </w:rPr>
        <w:t xml:space="preserve">. When it is introduced, it will be phased in, which means that affected households will require a DHP for less than six months in 2016/17. As such the increased government contribution for DHP’s is sufficient to meet this demand. </w:t>
      </w:r>
      <w:r w:rsidRPr="006E0BF0">
        <w:rPr>
          <w:rFonts w:eastAsiaTheme="minorHAnsi" w:cs="Arial"/>
          <w:color w:val="auto"/>
        </w:rPr>
        <w:t>The amended polic</w:t>
      </w:r>
      <w:r w:rsidRPr="000020F1">
        <w:rPr>
          <w:rFonts w:eastAsiaTheme="minorHAnsi" w:cs="Arial"/>
          <w:color w:val="auto"/>
        </w:rPr>
        <w:t>y also emphasises the intention to support people into work and people who are transitioning f</w:t>
      </w:r>
      <w:r w:rsidR="002F0D7D">
        <w:rPr>
          <w:rFonts w:eastAsiaTheme="minorHAnsi" w:cs="Arial"/>
          <w:color w:val="auto"/>
        </w:rPr>
        <w:t>r</w:t>
      </w:r>
      <w:r w:rsidRPr="002F0D7D">
        <w:rPr>
          <w:rFonts w:eastAsiaTheme="minorHAnsi" w:cs="Arial"/>
          <w:color w:val="auto"/>
        </w:rPr>
        <w:t>om hostel accommodation. This follows work carried out over the last year to provide additional support to people in these situations to help them through the ch</w:t>
      </w:r>
      <w:r w:rsidRPr="000020F1">
        <w:rPr>
          <w:rFonts w:eastAsiaTheme="minorHAnsi" w:cs="Arial"/>
          <w:color w:val="auto"/>
        </w:rPr>
        <w:t xml:space="preserve">ange they are undergoing. </w:t>
      </w:r>
    </w:p>
    <w:p w:rsidR="0064234F" w:rsidRPr="000020F1" w:rsidRDefault="0064234F" w:rsidP="00106674">
      <w:pPr>
        <w:pStyle w:val="ListParagraph"/>
        <w:numPr>
          <w:ilvl w:val="0"/>
          <w:numId w:val="35"/>
        </w:numPr>
        <w:spacing w:after="200" w:line="276" w:lineRule="auto"/>
        <w:rPr>
          <w:rFonts w:eastAsiaTheme="minorHAnsi" w:cs="Arial"/>
          <w:color w:val="auto"/>
        </w:rPr>
      </w:pPr>
      <w:r w:rsidRPr="00AC656D">
        <w:rPr>
          <w:rFonts w:eastAsiaTheme="minorHAnsi" w:cs="Arial"/>
          <w:color w:val="auto"/>
        </w:rPr>
        <w:t xml:space="preserve">Following the rollout of Universal Credit (UC) in Oxford on 20 April 2015, and subsequent receipt of DHP applications from UC customers, the policy has been updated to be clear how their DHP claims will be treated. </w:t>
      </w:r>
      <w:r w:rsidR="00106674" w:rsidRPr="00106674">
        <w:rPr>
          <w:rFonts w:eastAsiaTheme="minorHAnsi" w:cs="Arial"/>
          <w:color w:val="auto"/>
        </w:rPr>
        <w:t>The Council’s available budget will no longer be referred to as a consideration for a DHP application.</w:t>
      </w:r>
      <w:r w:rsidRPr="00AC656D">
        <w:rPr>
          <w:rFonts w:eastAsiaTheme="minorHAnsi" w:cs="Arial"/>
          <w:color w:val="auto"/>
        </w:rPr>
        <w:t xml:space="preserve"> A number of Upper Tribunal decisions have ruled that this is not a valid reason for declining support</w:t>
      </w:r>
      <w:r w:rsidRPr="000020F1">
        <w:rPr>
          <w:rFonts w:eastAsiaTheme="minorHAnsi" w:cs="Arial"/>
          <w:color w:val="auto"/>
        </w:rPr>
        <w:t>.</w:t>
      </w:r>
      <w:r w:rsidR="00B02713">
        <w:rPr>
          <w:rFonts w:eastAsiaTheme="minorHAnsi" w:cs="Arial"/>
          <w:color w:val="auto"/>
        </w:rPr>
        <w:t xml:space="preserve"> Regulations cap the total amount of DHP that can be spent by Local Authorities to two and a half times the government contribution, so the amended policy references this limit instead.</w:t>
      </w:r>
    </w:p>
    <w:p w:rsidR="0064234F" w:rsidRPr="00AC656D" w:rsidRDefault="0064234F" w:rsidP="00342E16">
      <w:pPr>
        <w:spacing w:after="200" w:line="276" w:lineRule="auto"/>
        <w:rPr>
          <w:rFonts w:eastAsiaTheme="minorHAnsi" w:cs="Arial"/>
          <w:b/>
          <w:color w:val="auto"/>
        </w:rPr>
      </w:pPr>
      <w:r w:rsidRPr="00AC656D">
        <w:rPr>
          <w:rFonts w:eastAsiaTheme="minorHAnsi" w:cs="Arial"/>
          <w:b/>
          <w:color w:val="auto"/>
        </w:rPr>
        <w:t>Monitoring</w:t>
      </w:r>
    </w:p>
    <w:p w:rsidR="0064234F" w:rsidRPr="000020F1" w:rsidRDefault="0064234F" w:rsidP="00B42D23">
      <w:pPr>
        <w:pStyle w:val="ListParagraph"/>
        <w:numPr>
          <w:ilvl w:val="0"/>
          <w:numId w:val="35"/>
        </w:numPr>
        <w:spacing w:after="200" w:line="276" w:lineRule="auto"/>
        <w:rPr>
          <w:rFonts w:eastAsiaTheme="minorHAnsi" w:cs="Arial"/>
          <w:color w:val="auto"/>
        </w:rPr>
      </w:pPr>
      <w:r w:rsidRPr="00AC656D">
        <w:rPr>
          <w:rFonts w:eastAsiaTheme="minorHAnsi" w:cs="Arial"/>
          <w:color w:val="auto"/>
        </w:rPr>
        <w:t>The consistency of decision making will be monitored by continuing to undertake a 10% check of all applications, whether successful or unsuccessful. In recent years regular reports have been made to Scrutiny Committee on DHP expenditure, and it is anticipated this will continue in 2016/17. Such monitoring will include detail</w:t>
      </w:r>
      <w:r w:rsidR="00B954F4">
        <w:rPr>
          <w:rFonts w:eastAsiaTheme="minorHAnsi" w:cs="Arial"/>
          <w:color w:val="auto"/>
        </w:rPr>
        <w:t>s</w:t>
      </w:r>
      <w:r w:rsidRPr="00B954F4">
        <w:rPr>
          <w:rFonts w:eastAsiaTheme="minorHAnsi" w:cs="Arial"/>
          <w:color w:val="auto"/>
        </w:rPr>
        <w:t xml:space="preserve"> of the amount of expenditure being made in respect of different Welfare Reform measures, and the number of cases receiving multiple awards throughout the year. Both actual and forecast DHP expenditure will be reported so that pressures </w:t>
      </w:r>
      <w:r w:rsidRPr="000020F1">
        <w:rPr>
          <w:rFonts w:eastAsiaTheme="minorHAnsi" w:cs="Arial"/>
          <w:color w:val="auto"/>
        </w:rPr>
        <w:t>can be identified as early as possible.</w:t>
      </w:r>
    </w:p>
    <w:p w:rsidR="0040736F" w:rsidRPr="000020F1" w:rsidRDefault="002329CF" w:rsidP="00C715B1">
      <w:pPr>
        <w:pStyle w:val="Heading1"/>
        <w:rPr>
          <w:rFonts w:cs="Arial"/>
        </w:rPr>
      </w:pPr>
      <w:r w:rsidRPr="000020F1">
        <w:rPr>
          <w:rFonts w:cs="Arial"/>
        </w:rPr>
        <w:t>Financial implications</w:t>
      </w:r>
    </w:p>
    <w:p w:rsidR="0064234F" w:rsidRPr="00AC656D" w:rsidRDefault="0064234F" w:rsidP="000011DB">
      <w:pPr>
        <w:pStyle w:val="ListParagraph"/>
        <w:numPr>
          <w:ilvl w:val="0"/>
          <w:numId w:val="35"/>
        </w:numPr>
        <w:spacing w:after="200" w:line="276" w:lineRule="auto"/>
        <w:rPr>
          <w:rFonts w:eastAsiaTheme="minorHAnsi" w:cs="Arial"/>
          <w:color w:val="auto"/>
        </w:rPr>
      </w:pPr>
      <w:r w:rsidRPr="00AC656D">
        <w:rPr>
          <w:rFonts w:eastAsiaTheme="minorHAnsi" w:cs="Arial"/>
          <w:color w:val="auto"/>
        </w:rPr>
        <w:t>Oxford’s DH</w:t>
      </w:r>
      <w:r w:rsidR="008A302B">
        <w:rPr>
          <w:rFonts w:eastAsiaTheme="minorHAnsi" w:cs="Arial"/>
          <w:color w:val="auto"/>
        </w:rPr>
        <w:t>P grant for 2016/17 is £376,792 which means a maximum of</w:t>
      </w:r>
      <w:r w:rsidRPr="00AC656D">
        <w:rPr>
          <w:rFonts w:eastAsiaTheme="minorHAnsi" w:cs="Arial"/>
          <w:color w:val="auto"/>
        </w:rPr>
        <w:t xml:space="preserve"> £941,980</w:t>
      </w:r>
      <w:r w:rsidR="008A302B">
        <w:rPr>
          <w:rFonts w:eastAsiaTheme="minorHAnsi" w:cs="Arial"/>
          <w:color w:val="auto"/>
        </w:rPr>
        <w:t xml:space="preserve"> can be spent next year</w:t>
      </w:r>
      <w:r w:rsidRPr="00AC656D">
        <w:rPr>
          <w:rFonts w:eastAsiaTheme="minorHAnsi" w:cs="Arial"/>
          <w:color w:val="auto"/>
        </w:rPr>
        <w:t>.  Any expenditure over and above the grant, up to the ceiling, is a direct cost to the Council. Housing Services have made £150,000 available from Preventing Homelessness funding in the event of expenditure exceeding the government contribution.</w:t>
      </w:r>
    </w:p>
    <w:p w:rsidR="00C11ACE" w:rsidRDefault="0064234F" w:rsidP="00B05EFD">
      <w:pPr>
        <w:pStyle w:val="ListParagraph"/>
        <w:numPr>
          <w:ilvl w:val="0"/>
          <w:numId w:val="35"/>
        </w:numPr>
        <w:spacing w:after="200" w:line="276" w:lineRule="auto"/>
        <w:rPr>
          <w:rFonts w:eastAsiaTheme="minorHAnsi" w:cs="Arial"/>
          <w:color w:val="auto"/>
        </w:rPr>
      </w:pPr>
      <w:r w:rsidRPr="00AC656D">
        <w:rPr>
          <w:rFonts w:eastAsiaTheme="minorHAnsi" w:cs="Arial"/>
          <w:color w:val="auto"/>
        </w:rPr>
        <w:t>By making effective use of the Discretionary Housing Payment budget, and targeting awards effectively, the Council will save the costs of placing people in temporary accommodation or dealing with people who are homeless. Typically the cost of placing someone in temporary accommodation can be 18 times that of sustaining a tenancy using DHPs</w:t>
      </w:r>
      <w:r w:rsidRPr="005A116B">
        <w:rPr>
          <w:rFonts w:eastAsiaTheme="minorHAnsi" w:cs="Arial"/>
          <w:color w:val="auto"/>
        </w:rPr>
        <w:t xml:space="preserve">. </w:t>
      </w:r>
    </w:p>
    <w:p w:rsidR="00B02713" w:rsidRPr="005A116B" w:rsidRDefault="00B02713" w:rsidP="00B05EFD">
      <w:pPr>
        <w:pStyle w:val="ListParagraph"/>
        <w:numPr>
          <w:ilvl w:val="0"/>
          <w:numId w:val="35"/>
        </w:numPr>
        <w:spacing w:after="200" w:line="276" w:lineRule="auto"/>
        <w:rPr>
          <w:rFonts w:eastAsiaTheme="minorHAnsi" w:cs="Arial"/>
          <w:color w:val="auto"/>
        </w:rPr>
      </w:pPr>
      <w:r>
        <w:rPr>
          <w:rFonts w:eastAsiaTheme="minorHAnsi" w:cs="Arial"/>
          <w:color w:val="auto"/>
        </w:rPr>
        <w:t xml:space="preserve">The government has confirmed the national DHP budget for the next four years. However after 2020, with Universal Credit largely rolled out and the ending of </w:t>
      </w:r>
      <w:r>
        <w:rPr>
          <w:rFonts w:eastAsiaTheme="minorHAnsi" w:cs="Arial"/>
          <w:color w:val="auto"/>
        </w:rPr>
        <w:lastRenderedPageBreak/>
        <w:t xml:space="preserve">the Revenue Support Grant to local authorities, it is likely that </w:t>
      </w:r>
      <w:r w:rsidR="00D31C38">
        <w:rPr>
          <w:rFonts w:eastAsiaTheme="minorHAnsi" w:cs="Arial"/>
          <w:color w:val="auto"/>
        </w:rPr>
        <w:t>government funding for DHP’s will also cease</w:t>
      </w:r>
      <w:r>
        <w:rPr>
          <w:rFonts w:eastAsiaTheme="minorHAnsi" w:cs="Arial"/>
          <w:color w:val="auto"/>
        </w:rPr>
        <w:t>. As such it is important that DHP’s continue to be used to help applicants become financially sustainable and reduce the long term reliance on this financial support.</w:t>
      </w:r>
    </w:p>
    <w:p w:rsidR="0040736F" w:rsidRPr="000020F1" w:rsidRDefault="00DA614B" w:rsidP="006E0BF0">
      <w:pPr>
        <w:pStyle w:val="Heading1"/>
        <w:rPr>
          <w:rFonts w:cs="Arial"/>
        </w:rPr>
      </w:pPr>
      <w:r w:rsidRPr="000020F1">
        <w:rPr>
          <w:rFonts w:cs="Arial"/>
        </w:rPr>
        <w:t>Legal issues</w:t>
      </w:r>
    </w:p>
    <w:p w:rsidR="006778CA" w:rsidRPr="008A302B" w:rsidRDefault="0064234F" w:rsidP="006E0BF0">
      <w:pPr>
        <w:pStyle w:val="ListParagraph"/>
        <w:numPr>
          <w:ilvl w:val="0"/>
          <w:numId w:val="35"/>
        </w:numPr>
        <w:rPr>
          <w:rFonts w:cs="Arial"/>
        </w:rPr>
      </w:pPr>
      <w:r w:rsidRPr="008A302B">
        <w:rPr>
          <w:rFonts w:cs="Arial"/>
        </w:rPr>
        <w:t>The recommendations of this report are within the scope of the Child Support, Pensions and Social Security Act 2000 and The Discretionary Financial Assistance Regulations 2001 (SI2001/1167), and subsequent amendments. Whilst the regulations give a very broad discretion the Council has a duty to act fairly, reasonably and consistently. Each case must be decided on its own merits, and decision making should be consistent throughout the year.</w:t>
      </w:r>
    </w:p>
    <w:p w:rsidR="002329CF" w:rsidRPr="007D7BBA" w:rsidRDefault="002329CF" w:rsidP="005A116B">
      <w:pPr>
        <w:pStyle w:val="Heading1"/>
        <w:rPr>
          <w:rFonts w:cs="Arial"/>
        </w:rPr>
      </w:pPr>
      <w:r w:rsidRPr="007D7BBA">
        <w:rPr>
          <w:rFonts w:cs="Arial"/>
        </w:rPr>
        <w:t>Level of risk</w:t>
      </w:r>
    </w:p>
    <w:p w:rsidR="0064234F" w:rsidRPr="00C626B7" w:rsidRDefault="0064234F" w:rsidP="000020F1">
      <w:pPr>
        <w:pStyle w:val="ListParagraph"/>
        <w:numPr>
          <w:ilvl w:val="0"/>
          <w:numId w:val="35"/>
        </w:numPr>
        <w:spacing w:after="200" w:line="276" w:lineRule="auto"/>
        <w:rPr>
          <w:rFonts w:cs="Arial"/>
        </w:rPr>
      </w:pPr>
      <w:r w:rsidRPr="00AC656D">
        <w:rPr>
          <w:rFonts w:eastAsiaTheme="minorHAnsi" w:cs="Arial"/>
          <w:color w:val="auto"/>
        </w:rPr>
        <w:t>An evaluation of the risks associated with the implementation of this policy has been carried out. A detailed Risk Register is attached at Appendix 2.</w:t>
      </w:r>
    </w:p>
    <w:p w:rsidR="002329CF" w:rsidRPr="007D7BBA" w:rsidRDefault="002329CF" w:rsidP="000020F1">
      <w:pPr>
        <w:pStyle w:val="Heading1"/>
        <w:rPr>
          <w:rFonts w:cs="Arial"/>
        </w:rPr>
      </w:pPr>
      <w:r w:rsidRPr="007D7BBA">
        <w:rPr>
          <w:rFonts w:cs="Arial"/>
        </w:rPr>
        <w:t xml:space="preserve">Equalities impact </w:t>
      </w:r>
    </w:p>
    <w:p w:rsidR="002329CF" w:rsidRPr="007E2235" w:rsidRDefault="0064234F">
      <w:pPr>
        <w:pStyle w:val="ListParagraph"/>
        <w:numPr>
          <w:ilvl w:val="0"/>
          <w:numId w:val="35"/>
        </w:numPr>
        <w:spacing w:after="200" w:line="276" w:lineRule="auto"/>
        <w:rPr>
          <w:rFonts w:cs="Arial"/>
        </w:rPr>
      </w:pPr>
      <w:r w:rsidRPr="00AC656D">
        <w:rPr>
          <w:rFonts w:eastAsiaTheme="minorHAnsi" w:cs="Arial"/>
          <w:color w:val="auto"/>
        </w:rPr>
        <w:t>An initial impact assessment has been carried out and is attached at Appendix 3. No undue, adverse impacts have been identified. However as the DHP budget is finite, and needs to be allocated within set guidelines, monitoring will be carried out to ensure there are no unintended consequences of the policy to any specific group of customers.</w:t>
      </w:r>
    </w:p>
    <w:p w:rsidR="007E2235" w:rsidRDefault="007E2235" w:rsidP="007E2235">
      <w:pPr>
        <w:spacing w:after="200" w:line="276" w:lineRule="auto"/>
        <w:rPr>
          <w:rFonts w:cs="Arial"/>
        </w:rPr>
      </w:pPr>
    </w:p>
    <w:p w:rsidR="007E2235" w:rsidRPr="007E2235" w:rsidRDefault="007E2235" w:rsidP="007E2235">
      <w:pPr>
        <w:spacing w:after="200" w:line="276" w:lineRule="auto"/>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C656D"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7D7BBA" w:rsidRDefault="00E87F7A">
            <w:pPr>
              <w:rPr>
                <w:rFonts w:cs="Arial"/>
                <w:b/>
              </w:rPr>
            </w:pPr>
            <w:r w:rsidRPr="007D7BBA">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D7BBA" w:rsidRDefault="00A7205A">
            <w:pPr>
              <w:rPr>
                <w:rFonts w:cs="Arial"/>
              </w:rPr>
            </w:pPr>
            <w:r w:rsidRPr="007D7BBA">
              <w:rPr>
                <w:rFonts w:cs="Arial"/>
              </w:rPr>
              <w:t>Paul Wilding</w:t>
            </w:r>
          </w:p>
        </w:tc>
      </w:tr>
      <w:tr w:rsidR="00DF093E" w:rsidRPr="00AC656D"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C626B7" w:rsidRDefault="00E87F7A" w:rsidP="00AC656D">
            <w:pPr>
              <w:rPr>
                <w:rFonts w:cs="Arial"/>
              </w:rPr>
            </w:pPr>
            <w:r w:rsidRPr="00C626B7">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7D7BBA" w:rsidRDefault="00A7205A" w:rsidP="00AC656D">
            <w:pPr>
              <w:rPr>
                <w:rFonts w:cs="Arial"/>
              </w:rPr>
            </w:pPr>
            <w:r w:rsidRPr="007D7BBA">
              <w:rPr>
                <w:rFonts w:cs="Arial"/>
              </w:rPr>
              <w:t>Revenues &amp; Benefits Programme Manager</w:t>
            </w:r>
          </w:p>
        </w:tc>
      </w:tr>
      <w:tr w:rsidR="00DF093E" w:rsidRPr="00AC656D" w:rsidTr="00A46E98">
        <w:trPr>
          <w:cantSplit/>
          <w:trHeight w:val="396"/>
        </w:trPr>
        <w:tc>
          <w:tcPr>
            <w:tcW w:w="3969" w:type="dxa"/>
            <w:tcBorders>
              <w:top w:val="nil"/>
              <w:left w:val="single" w:sz="8" w:space="0" w:color="000000"/>
              <w:bottom w:val="nil"/>
              <w:right w:val="nil"/>
            </w:tcBorders>
            <w:shd w:val="clear" w:color="auto" w:fill="auto"/>
          </w:tcPr>
          <w:p w:rsidR="00E87F7A" w:rsidRPr="00C626B7" w:rsidRDefault="00E87F7A" w:rsidP="00AC656D">
            <w:pPr>
              <w:rPr>
                <w:rFonts w:cs="Arial"/>
              </w:rPr>
            </w:pPr>
            <w:r w:rsidRPr="00C626B7">
              <w:rPr>
                <w:rFonts w:cs="Arial"/>
              </w:rPr>
              <w:t>Service area or department</w:t>
            </w:r>
          </w:p>
        </w:tc>
        <w:tc>
          <w:tcPr>
            <w:tcW w:w="4962" w:type="dxa"/>
            <w:tcBorders>
              <w:top w:val="nil"/>
              <w:left w:val="nil"/>
              <w:bottom w:val="nil"/>
              <w:right w:val="single" w:sz="8" w:space="0" w:color="000000"/>
            </w:tcBorders>
            <w:shd w:val="clear" w:color="auto" w:fill="auto"/>
          </w:tcPr>
          <w:p w:rsidR="00E87F7A" w:rsidRPr="007D7BBA" w:rsidRDefault="00A7205A" w:rsidP="00AC656D">
            <w:pPr>
              <w:rPr>
                <w:rFonts w:cs="Arial"/>
              </w:rPr>
            </w:pPr>
            <w:r w:rsidRPr="007D7BBA">
              <w:rPr>
                <w:rFonts w:cs="Arial"/>
              </w:rPr>
              <w:t>Welfare Reform Team</w:t>
            </w:r>
          </w:p>
        </w:tc>
      </w:tr>
      <w:tr w:rsidR="00DF093E" w:rsidRPr="00AC656D" w:rsidTr="00A46E98">
        <w:trPr>
          <w:cantSplit/>
          <w:trHeight w:val="396"/>
        </w:trPr>
        <w:tc>
          <w:tcPr>
            <w:tcW w:w="3969" w:type="dxa"/>
            <w:tcBorders>
              <w:top w:val="nil"/>
              <w:left w:val="single" w:sz="8" w:space="0" w:color="000000"/>
              <w:bottom w:val="nil"/>
              <w:right w:val="nil"/>
            </w:tcBorders>
            <w:shd w:val="clear" w:color="auto" w:fill="auto"/>
          </w:tcPr>
          <w:p w:rsidR="00E87F7A" w:rsidRPr="00C626B7" w:rsidRDefault="00E87F7A" w:rsidP="00AC656D">
            <w:pPr>
              <w:rPr>
                <w:rFonts w:cs="Arial"/>
              </w:rPr>
            </w:pPr>
            <w:r w:rsidRPr="00C626B7">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7D7BBA" w:rsidRDefault="00A7205A" w:rsidP="00AC656D">
            <w:pPr>
              <w:rPr>
                <w:rFonts w:cs="Arial"/>
              </w:rPr>
            </w:pPr>
            <w:r w:rsidRPr="007D7BBA">
              <w:rPr>
                <w:rFonts w:cs="Arial"/>
              </w:rPr>
              <w:t>01865 252461</w:t>
            </w:r>
            <w:r w:rsidR="00E87F7A" w:rsidRPr="007D7BBA">
              <w:rPr>
                <w:rFonts w:cs="Arial"/>
              </w:rPr>
              <w:t xml:space="preserve"> </w:t>
            </w:r>
          </w:p>
        </w:tc>
      </w:tr>
      <w:tr w:rsidR="005570B5" w:rsidRPr="00AC656D"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C626B7" w:rsidRDefault="00E87F7A" w:rsidP="00AC656D">
            <w:pPr>
              <w:rPr>
                <w:rFonts w:cs="Arial"/>
              </w:rPr>
            </w:pPr>
            <w:r w:rsidRPr="00C626B7">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7D7BBA" w:rsidRDefault="00A7205A" w:rsidP="00AC656D">
            <w:pPr>
              <w:rPr>
                <w:rStyle w:val="Hyperlink"/>
                <w:rFonts w:cs="Arial"/>
                <w:color w:val="000000"/>
              </w:rPr>
            </w:pPr>
            <w:r w:rsidRPr="007D7BBA">
              <w:rPr>
                <w:rStyle w:val="Hyperlink"/>
                <w:rFonts w:cs="Arial"/>
                <w:color w:val="000000"/>
              </w:rPr>
              <w:t>pwilding@oxford.gov.uk</w:t>
            </w:r>
          </w:p>
        </w:tc>
      </w:tr>
    </w:tbl>
    <w:p w:rsidR="00433B96" w:rsidRPr="00C626B7" w:rsidRDefault="00433B96" w:rsidP="00AC656D">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AC656D"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7D7BBA" w:rsidRDefault="00182B81" w:rsidP="00AC656D">
            <w:pPr>
              <w:rPr>
                <w:rFonts w:cs="Arial"/>
              </w:rPr>
            </w:pPr>
            <w:r w:rsidRPr="007D7BBA">
              <w:rPr>
                <w:rStyle w:val="Firstpagetablebold"/>
                <w:rFonts w:cs="Arial"/>
              </w:rPr>
              <w:t xml:space="preserve">Background Papers: </w:t>
            </w:r>
            <w:r w:rsidRPr="007D7BBA">
              <w:rPr>
                <w:rStyle w:val="Firstpagetablebold"/>
                <w:rFonts w:cs="Arial"/>
                <w:b w:val="0"/>
              </w:rPr>
              <w:t>None</w:t>
            </w:r>
          </w:p>
        </w:tc>
      </w:tr>
    </w:tbl>
    <w:p w:rsidR="00CE4C87" w:rsidRDefault="00CE4C87" w:rsidP="00AC656D">
      <w:pPr>
        <w:rPr>
          <w:rFonts w:cs="Arial"/>
        </w:rPr>
      </w:pPr>
    </w:p>
    <w:p w:rsidR="00547AF2" w:rsidRDefault="00547AF2" w:rsidP="00AC656D">
      <w:pPr>
        <w:rPr>
          <w:rFonts w:cs="Arial"/>
        </w:rPr>
      </w:pPr>
    </w:p>
    <w:sectPr w:rsidR="00547AF2"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86" w:rsidRDefault="00AE4886" w:rsidP="004A6D2F">
      <w:r>
        <w:separator/>
      </w:r>
    </w:p>
  </w:endnote>
  <w:endnote w:type="continuationSeparator" w:id="0">
    <w:p w:rsidR="00AE4886" w:rsidRDefault="00AE488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7E1003" w:rsidP="004A6D2F">
    <w:pPr>
      <w:pStyle w:val="Footer"/>
    </w:pPr>
    <w:r>
      <w:t>Do not use a footer or page numbers.</w:t>
    </w:r>
  </w:p>
  <w:p w:rsidR="007E1003" w:rsidRDefault="007E1003" w:rsidP="004A6D2F">
    <w:pPr>
      <w:pStyle w:val="Footer"/>
    </w:pPr>
  </w:p>
  <w:p w:rsidR="007E1003" w:rsidRDefault="007E10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7E10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86" w:rsidRDefault="00AE4886" w:rsidP="004A6D2F">
      <w:r>
        <w:separator/>
      </w:r>
    </w:p>
  </w:footnote>
  <w:footnote w:type="continuationSeparator" w:id="0">
    <w:p w:rsidR="00AE4886" w:rsidRDefault="00AE488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8803EB" w:rsidP="00D5547E">
    <w:pPr>
      <w:pStyle w:val="Header"/>
      <w:jc w:val="right"/>
    </w:pPr>
    <w:r>
      <w:rPr>
        <w:noProof/>
      </w:rPr>
      <w:drawing>
        <wp:inline distT="0" distB="0" distL="0" distR="0" wp14:anchorId="30535CBC" wp14:editId="09195AFD">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72D7D40"/>
    <w:multiLevelType w:val="hybridMultilevel"/>
    <w:tmpl w:val="AFBAE9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B57231"/>
    <w:multiLevelType w:val="hybridMultilevel"/>
    <w:tmpl w:val="71401C14"/>
    <w:lvl w:ilvl="0" w:tplc="0809000F">
      <w:start w:val="1"/>
      <w:numFmt w:val="decimal"/>
      <w:lvlText w:val="%1."/>
      <w:lvlJc w:val="left"/>
      <w:pPr>
        <w:ind w:left="720" w:hanging="360"/>
      </w:pPr>
    </w:lvl>
    <w:lvl w:ilvl="1" w:tplc="720C97B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20"/>
  </w:num>
  <w:num w:numId="5">
    <w:abstractNumId w:val="29"/>
  </w:num>
  <w:num w:numId="6">
    <w:abstractNumId w:val="33"/>
  </w:num>
  <w:num w:numId="7">
    <w:abstractNumId w:val="23"/>
  </w:num>
  <w:num w:numId="8">
    <w:abstractNumId w:val="21"/>
  </w:num>
  <w:num w:numId="9">
    <w:abstractNumId w:val="14"/>
  </w:num>
  <w:num w:numId="10">
    <w:abstractNumId w:val="17"/>
  </w:num>
  <w:num w:numId="11">
    <w:abstractNumId w:val="26"/>
  </w:num>
  <w:num w:numId="12">
    <w:abstractNumId w:val="25"/>
  </w:num>
  <w:num w:numId="13">
    <w:abstractNumId w:val="10"/>
  </w:num>
  <w:num w:numId="14">
    <w:abstractNumId w:val="34"/>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EB"/>
    <w:rsid w:val="000011DB"/>
    <w:rsid w:val="000020F1"/>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06674"/>
    <w:rsid w:val="00111FB1"/>
    <w:rsid w:val="00113418"/>
    <w:rsid w:val="001267E2"/>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356F0"/>
    <w:rsid w:val="00247C29"/>
    <w:rsid w:val="00260467"/>
    <w:rsid w:val="00263EA3"/>
    <w:rsid w:val="00284F85"/>
    <w:rsid w:val="00290915"/>
    <w:rsid w:val="002A22E2"/>
    <w:rsid w:val="002C18F1"/>
    <w:rsid w:val="002C64F7"/>
    <w:rsid w:val="002F0D7D"/>
    <w:rsid w:val="002F41F2"/>
    <w:rsid w:val="00301BF3"/>
    <w:rsid w:val="0030208D"/>
    <w:rsid w:val="00323418"/>
    <w:rsid w:val="003357BF"/>
    <w:rsid w:val="00342E16"/>
    <w:rsid w:val="00356079"/>
    <w:rsid w:val="00364FAD"/>
    <w:rsid w:val="0036738F"/>
    <w:rsid w:val="0036759C"/>
    <w:rsid w:val="00367AE5"/>
    <w:rsid w:val="00367D71"/>
    <w:rsid w:val="0038150A"/>
    <w:rsid w:val="003B6746"/>
    <w:rsid w:val="003B6E75"/>
    <w:rsid w:val="003B7DA1"/>
    <w:rsid w:val="003D0379"/>
    <w:rsid w:val="003D2574"/>
    <w:rsid w:val="003D4C59"/>
    <w:rsid w:val="003F4267"/>
    <w:rsid w:val="00404032"/>
    <w:rsid w:val="0040736F"/>
    <w:rsid w:val="00412C1F"/>
    <w:rsid w:val="00421CB2"/>
    <w:rsid w:val="004268B9"/>
    <w:rsid w:val="00430E2C"/>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AF2"/>
    <w:rsid w:val="00547EF6"/>
    <w:rsid w:val="005570B5"/>
    <w:rsid w:val="00567E18"/>
    <w:rsid w:val="00575F5F"/>
    <w:rsid w:val="00581805"/>
    <w:rsid w:val="00585F76"/>
    <w:rsid w:val="005A116B"/>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234F"/>
    <w:rsid w:val="00650811"/>
    <w:rsid w:val="00661D3E"/>
    <w:rsid w:val="006778CA"/>
    <w:rsid w:val="00692627"/>
    <w:rsid w:val="006969E7"/>
    <w:rsid w:val="006A3643"/>
    <w:rsid w:val="006C2A29"/>
    <w:rsid w:val="006C64CF"/>
    <w:rsid w:val="006D17B1"/>
    <w:rsid w:val="006D4752"/>
    <w:rsid w:val="006D708A"/>
    <w:rsid w:val="006E0BF0"/>
    <w:rsid w:val="006E14C1"/>
    <w:rsid w:val="006F0292"/>
    <w:rsid w:val="006F27FA"/>
    <w:rsid w:val="006F416B"/>
    <w:rsid w:val="006F519B"/>
    <w:rsid w:val="0070538F"/>
    <w:rsid w:val="00713675"/>
    <w:rsid w:val="00715823"/>
    <w:rsid w:val="00732437"/>
    <w:rsid w:val="00737B93"/>
    <w:rsid w:val="00745BF0"/>
    <w:rsid w:val="007615FE"/>
    <w:rsid w:val="0076655C"/>
    <w:rsid w:val="007742DC"/>
    <w:rsid w:val="00791437"/>
    <w:rsid w:val="007B0C2C"/>
    <w:rsid w:val="007B278E"/>
    <w:rsid w:val="007C5C23"/>
    <w:rsid w:val="007D7BBA"/>
    <w:rsid w:val="007E1003"/>
    <w:rsid w:val="007E2235"/>
    <w:rsid w:val="007E2A26"/>
    <w:rsid w:val="007F2348"/>
    <w:rsid w:val="007F53A8"/>
    <w:rsid w:val="00803F07"/>
    <w:rsid w:val="0080749A"/>
    <w:rsid w:val="00821FB8"/>
    <w:rsid w:val="00822ACD"/>
    <w:rsid w:val="008270C9"/>
    <w:rsid w:val="008472DE"/>
    <w:rsid w:val="00855C66"/>
    <w:rsid w:val="00871EE4"/>
    <w:rsid w:val="008803EB"/>
    <w:rsid w:val="008A302B"/>
    <w:rsid w:val="008B293F"/>
    <w:rsid w:val="008B7371"/>
    <w:rsid w:val="008D3DDB"/>
    <w:rsid w:val="008F573F"/>
    <w:rsid w:val="009034EC"/>
    <w:rsid w:val="00911EB1"/>
    <w:rsid w:val="0093067A"/>
    <w:rsid w:val="00941C60"/>
    <w:rsid w:val="00966D42"/>
    <w:rsid w:val="00971689"/>
    <w:rsid w:val="00973E90"/>
    <w:rsid w:val="00975B07"/>
    <w:rsid w:val="00980B4A"/>
    <w:rsid w:val="009B2142"/>
    <w:rsid w:val="009E3D0A"/>
    <w:rsid w:val="009E51FC"/>
    <w:rsid w:val="009F1D28"/>
    <w:rsid w:val="009F7618"/>
    <w:rsid w:val="00A04D23"/>
    <w:rsid w:val="00A06766"/>
    <w:rsid w:val="00A13765"/>
    <w:rsid w:val="00A21B12"/>
    <w:rsid w:val="00A23F80"/>
    <w:rsid w:val="00A46E98"/>
    <w:rsid w:val="00A6352B"/>
    <w:rsid w:val="00A701B5"/>
    <w:rsid w:val="00A714BB"/>
    <w:rsid w:val="00A7205A"/>
    <w:rsid w:val="00A92D8F"/>
    <w:rsid w:val="00AB2988"/>
    <w:rsid w:val="00AB7999"/>
    <w:rsid w:val="00AC656D"/>
    <w:rsid w:val="00AD3292"/>
    <w:rsid w:val="00AE4886"/>
    <w:rsid w:val="00AE7AF0"/>
    <w:rsid w:val="00AF14E5"/>
    <w:rsid w:val="00B02713"/>
    <w:rsid w:val="00B05EFD"/>
    <w:rsid w:val="00B42D23"/>
    <w:rsid w:val="00B500CA"/>
    <w:rsid w:val="00B86314"/>
    <w:rsid w:val="00B954F4"/>
    <w:rsid w:val="00BA1C2E"/>
    <w:rsid w:val="00BC200B"/>
    <w:rsid w:val="00BC4756"/>
    <w:rsid w:val="00BC69A4"/>
    <w:rsid w:val="00BE0680"/>
    <w:rsid w:val="00BE305F"/>
    <w:rsid w:val="00BE7BA3"/>
    <w:rsid w:val="00BF5682"/>
    <w:rsid w:val="00BF7B09"/>
    <w:rsid w:val="00C043CF"/>
    <w:rsid w:val="00C11ACE"/>
    <w:rsid w:val="00C20A95"/>
    <w:rsid w:val="00C2692F"/>
    <w:rsid w:val="00C3207C"/>
    <w:rsid w:val="00C33E57"/>
    <w:rsid w:val="00C400E1"/>
    <w:rsid w:val="00C41187"/>
    <w:rsid w:val="00C626B7"/>
    <w:rsid w:val="00C63C31"/>
    <w:rsid w:val="00C715B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31C38"/>
    <w:rsid w:val="00D474CF"/>
    <w:rsid w:val="00D5547E"/>
    <w:rsid w:val="00D62E53"/>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16DD"/>
    <w:rsid w:val="00EE35C9"/>
    <w:rsid w:val="00F05ECA"/>
    <w:rsid w:val="00F26D0C"/>
    <w:rsid w:val="00F26D77"/>
    <w:rsid w:val="00F3566E"/>
    <w:rsid w:val="00F375FB"/>
    <w:rsid w:val="00F41AC1"/>
    <w:rsid w:val="00F4367A"/>
    <w:rsid w:val="00F445B1"/>
    <w:rsid w:val="00F45CD4"/>
    <w:rsid w:val="00F66DCA"/>
    <w:rsid w:val="00F74F53"/>
    <w:rsid w:val="00F7606D"/>
    <w:rsid w:val="00F81670"/>
    <w:rsid w:val="00F82024"/>
    <w:rsid w:val="00F95BC9"/>
    <w:rsid w:val="00F96F1F"/>
    <w:rsid w:val="00FA624C"/>
    <w:rsid w:val="00FB0EC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64234F"/>
    <w:rPr>
      <w:rFonts w:eastAsiaTheme="minorHAns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64234F"/>
    <w:rPr>
      <w:rFonts w:eastAsiaTheme="minorHAns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B675-AFB3-4D6A-B8CB-0CF0C6F7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5C1BD67D</Template>
  <TotalTime>102</TotalTime>
  <Pages>6</Pages>
  <Words>1861</Words>
  <Characters>9678</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catherine.phythian</cp:lastModifiedBy>
  <cp:revision>11</cp:revision>
  <cp:lastPrinted>2015-07-03T13:50:00Z</cp:lastPrinted>
  <dcterms:created xsi:type="dcterms:W3CDTF">2016-02-27T10:45:00Z</dcterms:created>
  <dcterms:modified xsi:type="dcterms:W3CDTF">2016-03-22T15:25:00Z</dcterms:modified>
</cp:coreProperties>
</file>